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59210" w14:textId="3C45FFC3" w:rsidR="006C6058" w:rsidRPr="002B42EB" w:rsidRDefault="002B42EB" w:rsidP="006C6058">
      <w:pPr>
        <w:rPr>
          <w:b/>
          <w:color w:val="0070C0"/>
          <w:sz w:val="28"/>
          <w:szCs w:val="28"/>
          <w:lang w:val="bg-BG"/>
        </w:rPr>
      </w:pPr>
      <w:bookmarkStart w:id="0" w:name="_Toc428959132"/>
      <w:bookmarkStart w:id="1" w:name="_Toc430010046"/>
      <w:bookmarkStart w:id="2" w:name="_Toc439842252"/>
      <w:bookmarkStart w:id="3" w:name="_Toc439851272"/>
      <w:r>
        <w:rPr>
          <w:b/>
          <w:color w:val="0070C0"/>
          <w:sz w:val="28"/>
          <w:szCs w:val="28"/>
          <w:lang w:val="bg-BG"/>
        </w:rPr>
        <w:t>ОБАЗЕЦ</w:t>
      </w:r>
      <w:r w:rsidR="006C6058" w:rsidRPr="003A46C9">
        <w:rPr>
          <w:b/>
          <w:color w:val="0070C0"/>
          <w:sz w:val="28"/>
          <w:szCs w:val="28"/>
          <w:lang w:val="ru-RU"/>
        </w:rPr>
        <w:t xml:space="preserve"> </w:t>
      </w:r>
      <w:r w:rsidR="00650F6B" w:rsidRPr="003A46C9">
        <w:rPr>
          <w:b/>
          <w:color w:val="0070C0"/>
          <w:sz w:val="28"/>
          <w:szCs w:val="28"/>
          <w:lang w:val="ru-RU"/>
        </w:rPr>
        <w:t>4</w:t>
      </w:r>
      <w:r w:rsidR="006C6058" w:rsidRPr="003A46C9">
        <w:rPr>
          <w:b/>
          <w:color w:val="0070C0"/>
          <w:sz w:val="28"/>
          <w:szCs w:val="28"/>
          <w:lang w:val="ru-RU"/>
        </w:rPr>
        <w:t xml:space="preserve">: </w:t>
      </w:r>
      <w:bookmarkEnd w:id="0"/>
      <w:bookmarkEnd w:id="1"/>
      <w:bookmarkEnd w:id="2"/>
      <w:bookmarkEnd w:id="3"/>
      <w:r>
        <w:rPr>
          <w:b/>
          <w:color w:val="0070C0"/>
          <w:sz w:val="28"/>
          <w:szCs w:val="28"/>
          <w:lang w:val="bg-BG"/>
        </w:rPr>
        <w:t>ПЛАН ЗА ДЕЙСТВИЕ</w:t>
      </w:r>
    </w:p>
    <w:p w14:paraId="44F129CF" w14:textId="369C7B80" w:rsidR="00C7627A" w:rsidRPr="003A46C9" w:rsidRDefault="002B42EB" w:rsidP="00C76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</w:pPr>
      <w:r>
        <w:rPr>
          <w:b/>
          <w:lang w:val="bg-BG"/>
        </w:rPr>
        <w:t>Номер</w:t>
      </w:r>
      <w:r w:rsidR="00C7627A" w:rsidRPr="003A46C9">
        <w:rPr>
          <w:lang w:val="ru-RU"/>
        </w:rPr>
        <w:t xml:space="preserve">: </w:t>
      </w:r>
      <w:r w:rsidR="00E31A42" w:rsidRPr="003A46C9">
        <w:rPr>
          <w:lang w:val="ru-RU"/>
        </w:rPr>
        <w:t>2019</w:t>
      </w:r>
      <w:r w:rsidR="00E31A42" w:rsidRPr="00E31A42">
        <w:t>BG</w:t>
      </w:r>
      <w:r w:rsidR="00E31A42" w:rsidRPr="003A46C9">
        <w:rPr>
          <w:lang w:val="ru-RU"/>
        </w:rPr>
        <w:t>382901</w:t>
      </w:r>
    </w:p>
    <w:p w14:paraId="72DDB44E" w14:textId="1F3697E9" w:rsidR="00C7627A" w:rsidRPr="003A46C9" w:rsidRDefault="002B42EB" w:rsidP="00C76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</w:pPr>
      <w:r>
        <w:rPr>
          <w:b/>
          <w:lang w:val="bg-BG"/>
        </w:rPr>
        <w:t>Име на организацията</w:t>
      </w:r>
      <w:r w:rsidR="00C7627A" w:rsidRPr="003A46C9">
        <w:rPr>
          <w:lang w:val="ru-RU"/>
        </w:rPr>
        <w:t xml:space="preserve">: </w:t>
      </w:r>
    </w:p>
    <w:p w14:paraId="4877A9A8" w14:textId="6A7677DC" w:rsidR="00E31A42" w:rsidRPr="003A46C9" w:rsidRDefault="002B42EB" w:rsidP="006C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lang w:val="ru-RU"/>
        </w:rPr>
      </w:pPr>
      <w:r>
        <w:rPr>
          <w:rFonts w:asciiTheme="minorHAnsi" w:hAnsiTheme="minorHAnsi" w:cstheme="minorHAnsi"/>
          <w:sz w:val="24"/>
          <w:szCs w:val="24"/>
          <w:lang w:val="bg-BG"/>
        </w:rPr>
        <w:t>Технически университет - София</w:t>
      </w:r>
      <w:r w:rsidR="00E31A42" w:rsidRPr="003A46C9">
        <w:rPr>
          <w:rFonts w:asciiTheme="minorHAnsi" w:hAnsiTheme="minorHAnsi" w:cstheme="minorHAnsi"/>
          <w:b/>
          <w:lang w:val="ru-RU"/>
        </w:rPr>
        <w:t xml:space="preserve"> </w:t>
      </w:r>
    </w:p>
    <w:p w14:paraId="5130DD34" w14:textId="2CBA3BB5" w:rsidR="00E31A42" w:rsidRPr="003A46C9" w:rsidRDefault="002B42EB" w:rsidP="006C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</w:pPr>
      <w:r>
        <w:rPr>
          <w:b/>
          <w:lang w:val="bg-BG"/>
        </w:rPr>
        <w:t>Контакти на организацията</w:t>
      </w:r>
      <w:r w:rsidR="006C6058" w:rsidRPr="003A46C9">
        <w:rPr>
          <w:b/>
          <w:lang w:val="ru-RU"/>
        </w:rPr>
        <w:t>:</w:t>
      </w:r>
      <w:r w:rsidR="006C6058" w:rsidRPr="003A46C9">
        <w:rPr>
          <w:lang w:val="ru-RU"/>
        </w:rPr>
        <w:t xml:space="preserve"> </w:t>
      </w:r>
    </w:p>
    <w:p w14:paraId="42D4760F" w14:textId="4FFDFF32" w:rsidR="006C6058" w:rsidRPr="003A46C9" w:rsidRDefault="002B42EB" w:rsidP="006C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ru-RU"/>
        </w:rPr>
      </w:pPr>
      <w:r w:rsidRPr="003A46C9">
        <w:rPr>
          <w:rFonts w:asciiTheme="minorHAnsi" w:hAnsiTheme="minorHAnsi" w:cstheme="minorHAnsi"/>
          <w:sz w:val="24"/>
          <w:szCs w:val="24"/>
          <w:lang w:val="ru-RU"/>
        </w:rPr>
        <w:t xml:space="preserve">София,  бул. </w:t>
      </w:r>
      <w:r w:rsidR="00B87E72">
        <w:rPr>
          <w:rFonts w:asciiTheme="minorHAnsi" w:hAnsiTheme="minorHAnsi" w:cstheme="minorHAnsi"/>
          <w:sz w:val="24"/>
          <w:szCs w:val="24"/>
          <w:lang w:val="bg-BG"/>
        </w:rPr>
        <w:t xml:space="preserve">„Св. </w:t>
      </w:r>
      <w:r w:rsidRPr="003A46C9">
        <w:rPr>
          <w:rFonts w:asciiTheme="minorHAnsi" w:hAnsiTheme="minorHAnsi" w:cstheme="minorHAnsi"/>
          <w:sz w:val="24"/>
          <w:szCs w:val="24"/>
          <w:lang w:val="ru-RU"/>
        </w:rPr>
        <w:t>Климент Охридски</w:t>
      </w:r>
      <w:r w:rsidR="00B87E72">
        <w:rPr>
          <w:rFonts w:asciiTheme="minorHAnsi" w:hAnsiTheme="minorHAnsi" w:cstheme="minorHAnsi"/>
          <w:sz w:val="24"/>
          <w:szCs w:val="24"/>
          <w:lang w:val="bg-BG"/>
        </w:rPr>
        <w:t>“ №</w:t>
      </w:r>
      <w:r w:rsidRPr="003A46C9">
        <w:rPr>
          <w:rFonts w:asciiTheme="minorHAnsi" w:hAnsiTheme="minorHAnsi" w:cstheme="minorHAnsi"/>
          <w:sz w:val="24"/>
          <w:szCs w:val="24"/>
          <w:lang w:val="ru-RU"/>
        </w:rPr>
        <w:t xml:space="preserve"> 8</w:t>
      </w:r>
    </w:p>
    <w:p w14:paraId="6BC1F184" w14:textId="654CA501" w:rsidR="006C6058" w:rsidRPr="003A46C9" w:rsidRDefault="002B42EB" w:rsidP="006C6058">
      <w:pPr>
        <w:rPr>
          <w:smallCaps/>
          <w:spacing w:val="5"/>
          <w:lang w:val="ru-RU"/>
        </w:rPr>
      </w:pPr>
      <w:bookmarkStart w:id="4" w:name="_Toc428959133"/>
      <w:bookmarkStart w:id="5" w:name="_Toc430010047"/>
      <w:bookmarkStart w:id="6" w:name="_Toc439842253"/>
      <w:bookmarkStart w:id="7" w:name="_Toc439851273"/>
      <w:r>
        <w:rPr>
          <w:b/>
          <w:smallCaps/>
          <w:spacing w:val="5"/>
          <w:lang w:val="bg-BG"/>
        </w:rPr>
        <w:t>Дата на подаване</w:t>
      </w:r>
      <w:r w:rsidR="006C6058" w:rsidRPr="003A46C9">
        <w:rPr>
          <w:b/>
          <w:smallCaps/>
          <w:spacing w:val="5"/>
          <w:lang w:val="ru-RU"/>
        </w:rPr>
        <w:t>:</w:t>
      </w:r>
      <w:bookmarkEnd w:id="4"/>
      <w:bookmarkEnd w:id="5"/>
      <w:r w:rsidR="006C6058" w:rsidRPr="003A46C9">
        <w:rPr>
          <w:smallCaps/>
          <w:spacing w:val="5"/>
          <w:lang w:val="ru-RU"/>
        </w:rPr>
        <w:t xml:space="preserve"> ………………………………………………………………..</w:t>
      </w:r>
      <w:bookmarkEnd w:id="6"/>
      <w:bookmarkEnd w:id="7"/>
    </w:p>
    <w:p w14:paraId="0A5B4D84" w14:textId="57733B93" w:rsidR="006C6058" w:rsidRPr="002B42EB" w:rsidRDefault="006C6058" w:rsidP="006C6058">
      <w:pPr>
        <w:spacing w:after="0"/>
        <w:rPr>
          <w:b/>
          <w:smallCaps/>
          <w:spacing w:val="5"/>
          <w:sz w:val="28"/>
          <w:szCs w:val="28"/>
          <w:lang w:val="bg-BG"/>
        </w:rPr>
      </w:pPr>
      <w:bookmarkStart w:id="8" w:name="_Toc428959134"/>
      <w:bookmarkStart w:id="9" w:name="_Toc430010048"/>
      <w:bookmarkStart w:id="10" w:name="_Toc439842254"/>
      <w:bookmarkStart w:id="11" w:name="_Toc439851274"/>
      <w:r w:rsidRPr="003A46C9">
        <w:rPr>
          <w:b/>
          <w:smallCaps/>
          <w:spacing w:val="5"/>
          <w:sz w:val="28"/>
          <w:szCs w:val="28"/>
          <w:lang w:val="ru-RU"/>
        </w:rPr>
        <w:t xml:space="preserve">1. </w:t>
      </w:r>
      <w:bookmarkEnd w:id="8"/>
      <w:bookmarkEnd w:id="9"/>
      <w:bookmarkEnd w:id="10"/>
      <w:bookmarkEnd w:id="11"/>
      <w:r w:rsidR="002B42EB">
        <w:rPr>
          <w:b/>
          <w:smallCaps/>
          <w:spacing w:val="5"/>
          <w:sz w:val="28"/>
          <w:szCs w:val="28"/>
          <w:lang w:val="bg-BG"/>
        </w:rPr>
        <w:t>Информация за организацията</w:t>
      </w:r>
    </w:p>
    <w:p w14:paraId="6BB97E78" w14:textId="455F24BC" w:rsidR="006C6058" w:rsidRPr="000F3AA2" w:rsidRDefault="009229A9" w:rsidP="006C6058">
      <w:pPr>
        <w:rPr>
          <w:i/>
        </w:rPr>
      </w:pPr>
      <w:r>
        <w:rPr>
          <w:i/>
          <w:lang w:val="bg-BG"/>
        </w:rPr>
        <w:t xml:space="preserve">Моля, посочете ограничен брой от ключови </w:t>
      </w:r>
      <w:r w:rsidR="00786CE2" w:rsidRPr="00786CE2">
        <w:rPr>
          <w:i/>
          <w:lang w:val="bg-BG"/>
        </w:rPr>
        <w:t>показатели</w:t>
      </w:r>
      <w:r w:rsidRPr="00786CE2">
        <w:rPr>
          <w:i/>
          <w:lang w:val="bg-BG"/>
        </w:rPr>
        <w:t xml:space="preserve"> </w:t>
      </w:r>
      <w:r>
        <w:rPr>
          <w:i/>
          <w:lang w:val="bg-BG"/>
        </w:rPr>
        <w:t xml:space="preserve">за вашата организация. </w:t>
      </w:r>
      <w:r w:rsidR="00786CE2">
        <w:rPr>
          <w:i/>
          <w:lang w:val="bg-BG"/>
        </w:rPr>
        <w:t>Показателите</w:t>
      </w:r>
      <w:r>
        <w:rPr>
          <w:i/>
          <w:lang w:val="bg-BG"/>
        </w:rPr>
        <w:t xml:space="preserve"> маркирани със </w:t>
      </w:r>
      <w:r w:rsidR="006C6058" w:rsidRPr="000F3AA2">
        <w:rPr>
          <w:i/>
        </w:rPr>
        <w:t xml:space="preserve">* </w:t>
      </w:r>
      <w:r>
        <w:rPr>
          <w:i/>
          <w:lang w:val="bg-BG"/>
        </w:rPr>
        <w:t>са задължителни</w:t>
      </w:r>
      <w:r w:rsidR="006C6058" w:rsidRPr="000F3AA2">
        <w:rPr>
          <w:i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31"/>
        <w:gridCol w:w="3831"/>
      </w:tblGrid>
      <w:tr w:rsidR="006C6058" w:rsidRPr="003A46C9" w14:paraId="2C5E6CEC" w14:textId="77777777" w:rsidTr="008E5DA4">
        <w:tc>
          <w:tcPr>
            <w:tcW w:w="6941" w:type="dxa"/>
            <w:shd w:val="clear" w:color="auto" w:fill="D9D9D9"/>
          </w:tcPr>
          <w:p w14:paraId="4635A04E" w14:textId="4A4756CB" w:rsidR="006C6058" w:rsidRPr="009229A9" w:rsidRDefault="009229A9" w:rsidP="009229A9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bg-BG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bg-BG"/>
              </w:rPr>
              <w:t>ПЕРСОНАЛ</w:t>
            </w:r>
            <w:r w:rsidR="006C6058" w:rsidRPr="008E5DA4">
              <w:rPr>
                <w:rFonts w:eastAsia="Times New Roman"/>
                <w:b/>
                <w:i/>
                <w:sz w:val="24"/>
                <w:szCs w:val="24"/>
              </w:rPr>
              <w:t xml:space="preserve"> &amp; </w:t>
            </w:r>
            <w:r>
              <w:rPr>
                <w:rFonts w:eastAsia="Times New Roman"/>
                <w:b/>
                <w:i/>
                <w:sz w:val="24"/>
                <w:szCs w:val="24"/>
                <w:lang w:val="bg-BG"/>
              </w:rPr>
              <w:t>СТУДЕНТИ</w:t>
            </w:r>
          </w:p>
        </w:tc>
        <w:tc>
          <w:tcPr>
            <w:tcW w:w="2119" w:type="dxa"/>
            <w:shd w:val="clear" w:color="auto" w:fill="D9D9D9"/>
          </w:tcPr>
          <w:p w14:paraId="12539A98" w14:textId="43C697C9" w:rsidR="009229A9" w:rsidRPr="00296538" w:rsidRDefault="00C532E3" w:rsidP="008E5DA4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bg-BG"/>
              </w:rPr>
            </w:pPr>
            <w:r w:rsidRPr="00296538">
              <w:rPr>
                <w:rFonts w:eastAsia="Times New Roman"/>
                <w:i/>
                <w:sz w:val="24"/>
                <w:szCs w:val="24"/>
                <w:lang w:val="bg-BG"/>
              </w:rPr>
              <w:t>Заетост на пълно работно време</w:t>
            </w:r>
          </w:p>
        </w:tc>
      </w:tr>
      <w:tr w:rsidR="006C6058" w:rsidRPr="008E5DA4" w14:paraId="718B5BAF" w14:textId="77777777" w:rsidTr="008E5DA4">
        <w:tc>
          <w:tcPr>
            <w:tcW w:w="6941" w:type="dxa"/>
            <w:shd w:val="clear" w:color="auto" w:fill="auto"/>
          </w:tcPr>
          <w:p w14:paraId="3D8559F3" w14:textId="0434A503" w:rsidR="006C6058" w:rsidRPr="003A46C9" w:rsidRDefault="009229A9" w:rsidP="00791F8A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ru-RU"/>
              </w:rPr>
            </w:pPr>
            <w:r>
              <w:rPr>
                <w:rFonts w:eastAsia="Times New Roman"/>
                <w:i/>
                <w:sz w:val="20"/>
                <w:szCs w:val="20"/>
                <w:lang w:val="bg-BG"/>
              </w:rPr>
              <w:t xml:space="preserve">Общ брой </w:t>
            </w:r>
            <w:r w:rsidR="0016679F">
              <w:rPr>
                <w:rFonts w:eastAsia="Times New Roman"/>
                <w:i/>
                <w:sz w:val="20"/>
                <w:szCs w:val="20"/>
                <w:lang w:val="bg-BG"/>
              </w:rPr>
              <w:t>изследователи</w:t>
            </w:r>
            <w:r w:rsidR="006C6058" w:rsidRPr="003A46C9">
              <w:rPr>
                <w:rFonts w:eastAsia="Times New Roman"/>
                <w:i/>
                <w:sz w:val="20"/>
                <w:szCs w:val="20"/>
                <w:lang w:val="ru-RU"/>
              </w:rPr>
              <w:t xml:space="preserve"> = </w:t>
            </w:r>
            <w:r w:rsidR="0033057F">
              <w:rPr>
                <w:rFonts w:eastAsia="Times New Roman"/>
                <w:i/>
                <w:sz w:val="20"/>
                <w:szCs w:val="20"/>
                <w:lang w:val="bg-BG"/>
              </w:rPr>
              <w:t>персонал</w:t>
            </w:r>
            <w:r w:rsidR="006C6058" w:rsidRPr="003A46C9">
              <w:rPr>
                <w:rFonts w:eastAsia="Times New Roman"/>
                <w:i/>
                <w:sz w:val="20"/>
                <w:szCs w:val="20"/>
                <w:lang w:val="ru-RU"/>
              </w:rPr>
              <w:t xml:space="preserve">, </w:t>
            </w:r>
            <w:r w:rsidR="00791F8A">
              <w:rPr>
                <w:rFonts w:eastAsia="Times New Roman"/>
                <w:i/>
                <w:sz w:val="20"/>
                <w:szCs w:val="20"/>
                <w:lang w:val="bg-BG"/>
              </w:rPr>
              <w:t>асоциирани изследователи</w:t>
            </w:r>
            <w:r w:rsidR="006C6058" w:rsidRPr="003A46C9">
              <w:rPr>
                <w:rFonts w:eastAsia="Times New Roman"/>
                <w:i/>
                <w:sz w:val="20"/>
                <w:szCs w:val="20"/>
                <w:lang w:val="ru-RU"/>
              </w:rPr>
              <w:t xml:space="preserve">, </w:t>
            </w:r>
            <w:r w:rsidR="00C532E3">
              <w:rPr>
                <w:rFonts w:eastAsia="Times New Roman"/>
                <w:i/>
                <w:sz w:val="20"/>
                <w:szCs w:val="20"/>
                <w:lang w:val="bg-BG"/>
              </w:rPr>
              <w:t>стипендианти</w:t>
            </w:r>
            <w:r w:rsidR="006C6058" w:rsidRPr="003A46C9">
              <w:rPr>
                <w:rFonts w:eastAsia="Times New Roman"/>
                <w:i/>
                <w:sz w:val="20"/>
                <w:szCs w:val="20"/>
                <w:lang w:val="ru-RU"/>
              </w:rPr>
              <w:t xml:space="preserve">, </w:t>
            </w:r>
            <w:r w:rsidR="0072538B">
              <w:rPr>
                <w:rFonts w:eastAsia="Times New Roman"/>
                <w:i/>
                <w:sz w:val="20"/>
                <w:szCs w:val="20"/>
                <w:lang w:val="bg-BG"/>
              </w:rPr>
              <w:t>редовни или задочни докторанти, които участват в научните изследвания</w:t>
            </w:r>
            <w:r w:rsidR="006C6058" w:rsidRPr="003A46C9">
              <w:rPr>
                <w:rFonts w:eastAsia="Times New Roman"/>
                <w:i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19" w:type="dxa"/>
            <w:shd w:val="clear" w:color="auto" w:fill="auto"/>
          </w:tcPr>
          <w:p w14:paraId="3FD88C4E" w14:textId="16C6312B" w:rsidR="006C6058" w:rsidRPr="008E5DA4" w:rsidRDefault="006C6058" w:rsidP="008E5DA4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</w:rPr>
            </w:pPr>
            <w:r w:rsidRPr="008E5DA4">
              <w:rPr>
                <w:rFonts w:eastAsia="Times New Roman"/>
                <w:i/>
                <w:sz w:val="20"/>
                <w:szCs w:val="20"/>
              </w:rPr>
              <w:t>*</w:t>
            </w:r>
            <w:r w:rsidR="00042F64">
              <w:rPr>
                <w:rFonts w:eastAsia="Times New Roman"/>
                <w:i/>
                <w:sz w:val="20"/>
                <w:szCs w:val="20"/>
              </w:rPr>
              <w:t>794+207=1001</w:t>
            </w:r>
          </w:p>
        </w:tc>
      </w:tr>
      <w:tr w:rsidR="006C6058" w:rsidRPr="008E5DA4" w14:paraId="7B1A45D4" w14:textId="77777777" w:rsidTr="008E5DA4">
        <w:tc>
          <w:tcPr>
            <w:tcW w:w="6941" w:type="dxa"/>
            <w:shd w:val="clear" w:color="auto" w:fill="auto"/>
          </w:tcPr>
          <w:p w14:paraId="0A493021" w14:textId="0BBC4E52" w:rsidR="006C6058" w:rsidRPr="003A46C9" w:rsidRDefault="0072538B" w:rsidP="002F482D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ru-RU"/>
              </w:rPr>
            </w:pPr>
            <w:r>
              <w:rPr>
                <w:rFonts w:eastAsia="Times New Roman"/>
                <w:i/>
                <w:sz w:val="20"/>
                <w:szCs w:val="20"/>
                <w:lang w:val="bg-BG"/>
              </w:rPr>
              <w:t xml:space="preserve">От тях </w:t>
            </w:r>
            <w:r w:rsidR="002F482D">
              <w:rPr>
                <w:rFonts w:eastAsia="Times New Roman"/>
                <w:i/>
                <w:sz w:val="20"/>
                <w:szCs w:val="20"/>
                <w:lang w:val="bg-BG"/>
              </w:rPr>
              <w:t>колко</w:t>
            </w:r>
            <w:r>
              <w:rPr>
                <w:rFonts w:eastAsia="Times New Roman"/>
                <w:i/>
                <w:sz w:val="20"/>
                <w:szCs w:val="20"/>
                <w:lang w:val="bg-BG"/>
              </w:rPr>
              <w:t xml:space="preserve"> са </w:t>
            </w:r>
            <w:r w:rsidR="002F482D">
              <w:rPr>
                <w:rFonts w:eastAsia="Times New Roman"/>
                <w:i/>
                <w:sz w:val="20"/>
                <w:szCs w:val="20"/>
                <w:lang w:val="bg-BG"/>
              </w:rPr>
              <w:t>от други държави</w:t>
            </w:r>
            <w:r w:rsidR="006C6058" w:rsidRPr="003A46C9">
              <w:rPr>
                <w:rFonts w:eastAsia="Times New Roman"/>
                <w:i/>
                <w:sz w:val="20"/>
                <w:szCs w:val="20"/>
                <w:lang w:val="ru-RU"/>
              </w:rPr>
              <w:t xml:space="preserve"> (</w:t>
            </w:r>
            <w:r>
              <w:rPr>
                <w:rFonts w:eastAsia="Times New Roman"/>
                <w:i/>
                <w:sz w:val="20"/>
                <w:szCs w:val="20"/>
                <w:lang w:val="bg-BG"/>
              </w:rPr>
              <w:t>напр. чужденци</w:t>
            </w:r>
            <w:r w:rsidR="006C6058" w:rsidRPr="003A46C9">
              <w:rPr>
                <w:rFonts w:eastAsia="Times New Roman"/>
                <w:i/>
                <w:sz w:val="20"/>
                <w:szCs w:val="20"/>
                <w:lang w:val="ru-RU"/>
              </w:rPr>
              <w:t>)</w:t>
            </w:r>
          </w:p>
        </w:tc>
        <w:tc>
          <w:tcPr>
            <w:tcW w:w="2119" w:type="dxa"/>
            <w:shd w:val="clear" w:color="auto" w:fill="auto"/>
          </w:tcPr>
          <w:p w14:paraId="34C816AA" w14:textId="7834AD4A" w:rsidR="006C6058" w:rsidRPr="008E5DA4" w:rsidRDefault="006C6058" w:rsidP="008E5DA4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</w:rPr>
            </w:pPr>
            <w:r w:rsidRPr="008E5DA4">
              <w:rPr>
                <w:rFonts w:eastAsia="Times New Roman"/>
                <w:i/>
                <w:sz w:val="20"/>
                <w:szCs w:val="20"/>
              </w:rPr>
              <w:t>*</w:t>
            </w:r>
            <w:r w:rsidR="00042F64">
              <w:rPr>
                <w:rFonts w:eastAsia="Times New Roman"/>
                <w:i/>
                <w:sz w:val="20"/>
                <w:szCs w:val="20"/>
              </w:rPr>
              <w:t>2</w:t>
            </w:r>
          </w:p>
        </w:tc>
      </w:tr>
      <w:tr w:rsidR="006C6058" w:rsidRPr="008E5DA4" w14:paraId="34C10BA0" w14:textId="77777777" w:rsidTr="008E5DA4">
        <w:tc>
          <w:tcPr>
            <w:tcW w:w="6941" w:type="dxa"/>
            <w:shd w:val="clear" w:color="auto" w:fill="auto"/>
          </w:tcPr>
          <w:p w14:paraId="39F5E08F" w14:textId="1B8B9612" w:rsidR="006C6058" w:rsidRPr="003A46C9" w:rsidRDefault="0072538B" w:rsidP="00A41C93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ru-RU"/>
              </w:rPr>
            </w:pPr>
            <w:r>
              <w:rPr>
                <w:rFonts w:eastAsia="Times New Roman"/>
                <w:i/>
                <w:sz w:val="20"/>
                <w:szCs w:val="20"/>
                <w:lang w:val="bg-BG"/>
              </w:rPr>
              <w:t xml:space="preserve">От тях </w:t>
            </w:r>
            <w:r w:rsidR="002F482D">
              <w:rPr>
                <w:rFonts w:eastAsia="Times New Roman"/>
                <w:i/>
                <w:sz w:val="20"/>
                <w:szCs w:val="20"/>
                <w:lang w:val="bg-BG"/>
              </w:rPr>
              <w:t>колко</w:t>
            </w:r>
            <w:r>
              <w:rPr>
                <w:rFonts w:eastAsia="Times New Roman"/>
                <w:i/>
                <w:sz w:val="20"/>
                <w:szCs w:val="20"/>
                <w:lang w:val="bg-BG"/>
              </w:rPr>
              <w:t xml:space="preserve"> са с външно финансиране</w:t>
            </w:r>
            <w:r w:rsidR="006C6058" w:rsidRPr="003A46C9">
              <w:rPr>
                <w:rFonts w:eastAsia="Times New Roman"/>
                <w:i/>
                <w:sz w:val="20"/>
                <w:szCs w:val="20"/>
                <w:lang w:val="ru-RU"/>
              </w:rPr>
              <w:t xml:space="preserve"> (</w:t>
            </w:r>
            <w:r>
              <w:rPr>
                <w:rFonts w:eastAsia="Times New Roman"/>
                <w:i/>
                <w:sz w:val="20"/>
                <w:szCs w:val="20"/>
                <w:lang w:val="bg-BG"/>
              </w:rPr>
              <w:t xml:space="preserve"> напр. за </w:t>
            </w:r>
            <w:r w:rsidR="002F482D">
              <w:rPr>
                <w:rFonts w:eastAsia="Times New Roman"/>
                <w:i/>
                <w:sz w:val="20"/>
                <w:szCs w:val="20"/>
                <w:lang w:val="bg-BG"/>
              </w:rPr>
              <w:t>колко от тях</w:t>
            </w:r>
            <w:r>
              <w:rPr>
                <w:rFonts w:eastAsia="Times New Roman"/>
                <w:i/>
                <w:sz w:val="20"/>
                <w:szCs w:val="20"/>
                <w:lang w:val="bg-BG"/>
              </w:rPr>
              <w:t xml:space="preserve"> организацията е </w:t>
            </w:r>
            <w:r w:rsidR="00A41C93">
              <w:rPr>
                <w:rFonts w:eastAsia="Times New Roman"/>
                <w:i/>
                <w:sz w:val="20"/>
                <w:szCs w:val="20"/>
                <w:lang w:val="bg-BG"/>
              </w:rPr>
              <w:t>домакин</w:t>
            </w:r>
            <w:r w:rsidR="006C6058" w:rsidRPr="003A46C9">
              <w:rPr>
                <w:rFonts w:eastAsia="Times New Roman"/>
                <w:i/>
                <w:sz w:val="20"/>
                <w:szCs w:val="20"/>
                <w:lang w:val="ru-RU"/>
              </w:rPr>
              <w:t>)</w:t>
            </w:r>
          </w:p>
        </w:tc>
        <w:tc>
          <w:tcPr>
            <w:tcW w:w="2119" w:type="dxa"/>
            <w:shd w:val="clear" w:color="auto" w:fill="auto"/>
          </w:tcPr>
          <w:p w14:paraId="28B4A23F" w14:textId="54ECADCD" w:rsidR="006C6058" w:rsidRPr="008E5DA4" w:rsidRDefault="006C6058" w:rsidP="008E5DA4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</w:rPr>
            </w:pPr>
            <w:r w:rsidRPr="008E5DA4">
              <w:rPr>
                <w:rFonts w:eastAsia="Times New Roman"/>
                <w:i/>
                <w:sz w:val="20"/>
                <w:szCs w:val="20"/>
              </w:rPr>
              <w:t>*</w:t>
            </w:r>
            <w:r w:rsidR="00042F64">
              <w:rPr>
                <w:rFonts w:eastAsia="Times New Roman"/>
                <w:i/>
                <w:sz w:val="20"/>
                <w:szCs w:val="20"/>
              </w:rPr>
              <w:t>0</w:t>
            </w:r>
          </w:p>
        </w:tc>
      </w:tr>
      <w:tr w:rsidR="006C6058" w:rsidRPr="008E5DA4" w14:paraId="6F154F74" w14:textId="77777777" w:rsidTr="008E5DA4">
        <w:tc>
          <w:tcPr>
            <w:tcW w:w="6941" w:type="dxa"/>
            <w:shd w:val="clear" w:color="auto" w:fill="auto"/>
          </w:tcPr>
          <w:p w14:paraId="6CE7D090" w14:textId="7F110F02" w:rsidR="006C6058" w:rsidRPr="0072538B" w:rsidRDefault="0072538B" w:rsidP="008E5DA4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bg-BG"/>
              </w:rPr>
            </w:pPr>
            <w:r>
              <w:rPr>
                <w:rFonts w:eastAsia="Times New Roman"/>
                <w:i/>
                <w:sz w:val="20"/>
                <w:szCs w:val="20"/>
                <w:lang w:val="bg-BG"/>
              </w:rPr>
              <w:t>От тях колко са жени</w:t>
            </w:r>
          </w:p>
        </w:tc>
        <w:tc>
          <w:tcPr>
            <w:tcW w:w="2119" w:type="dxa"/>
            <w:shd w:val="clear" w:color="auto" w:fill="auto"/>
          </w:tcPr>
          <w:p w14:paraId="1439238B" w14:textId="3B918643" w:rsidR="006C6058" w:rsidRPr="008E5DA4" w:rsidRDefault="006C6058" w:rsidP="008E5DA4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</w:rPr>
            </w:pPr>
            <w:r w:rsidRPr="008E5DA4">
              <w:rPr>
                <w:rFonts w:eastAsia="Times New Roman"/>
                <w:i/>
                <w:sz w:val="20"/>
                <w:szCs w:val="20"/>
              </w:rPr>
              <w:t>*</w:t>
            </w:r>
            <w:r w:rsidR="004E3C85">
              <w:rPr>
                <w:rFonts w:eastAsia="Times New Roman"/>
                <w:i/>
                <w:sz w:val="20"/>
                <w:szCs w:val="20"/>
              </w:rPr>
              <w:t xml:space="preserve">  348</w:t>
            </w:r>
          </w:p>
        </w:tc>
      </w:tr>
      <w:tr w:rsidR="006C6058" w:rsidRPr="008E5DA4" w14:paraId="039FAAD1" w14:textId="77777777" w:rsidTr="008E5DA4">
        <w:tc>
          <w:tcPr>
            <w:tcW w:w="6941" w:type="dxa"/>
            <w:shd w:val="clear" w:color="auto" w:fill="auto"/>
          </w:tcPr>
          <w:p w14:paraId="1F960BAE" w14:textId="716DE86D" w:rsidR="006C6058" w:rsidRPr="003A46C9" w:rsidRDefault="0072538B" w:rsidP="002F482D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ru-RU"/>
              </w:rPr>
            </w:pPr>
            <w:r>
              <w:rPr>
                <w:rFonts w:eastAsia="Times New Roman"/>
                <w:i/>
                <w:sz w:val="20"/>
                <w:szCs w:val="20"/>
                <w:lang w:val="bg-BG"/>
              </w:rPr>
              <w:t xml:space="preserve">От тях </w:t>
            </w:r>
            <w:r w:rsidR="002F482D">
              <w:rPr>
                <w:rFonts w:eastAsia="Times New Roman"/>
                <w:i/>
                <w:sz w:val="20"/>
                <w:szCs w:val="20"/>
                <w:lang w:val="bg-BG"/>
              </w:rPr>
              <w:t>колко</w:t>
            </w:r>
            <w:r>
              <w:rPr>
                <w:rFonts w:eastAsia="Times New Roman"/>
                <w:i/>
                <w:sz w:val="20"/>
                <w:szCs w:val="20"/>
                <w:lang w:val="bg-BG"/>
              </w:rPr>
              <w:t xml:space="preserve"> са на ниво</w:t>
            </w:r>
            <w:r w:rsidR="006C6058" w:rsidRPr="003A46C9">
              <w:rPr>
                <w:rFonts w:eastAsia="Times New Roman"/>
                <w:i/>
                <w:sz w:val="20"/>
                <w:szCs w:val="20"/>
                <w:lang w:val="ru-RU"/>
              </w:rPr>
              <w:t xml:space="preserve"> </w:t>
            </w:r>
            <w:r w:rsidR="006C6058" w:rsidRPr="008E5DA4">
              <w:rPr>
                <w:rFonts w:eastAsia="Times New Roman"/>
                <w:i/>
                <w:sz w:val="20"/>
                <w:szCs w:val="20"/>
              </w:rPr>
              <w:t>R</w:t>
            </w:r>
            <w:r w:rsidR="006C6058" w:rsidRPr="003A46C9">
              <w:rPr>
                <w:rFonts w:eastAsia="Times New Roman"/>
                <w:i/>
                <w:sz w:val="20"/>
                <w:szCs w:val="20"/>
                <w:lang w:val="ru-RU"/>
              </w:rPr>
              <w:t xml:space="preserve">3 </w:t>
            </w:r>
            <w:r>
              <w:rPr>
                <w:rFonts w:eastAsia="Times New Roman"/>
                <w:i/>
                <w:sz w:val="20"/>
                <w:szCs w:val="20"/>
                <w:lang w:val="bg-BG"/>
              </w:rPr>
              <w:t>или</w:t>
            </w:r>
            <w:r w:rsidR="006C6058" w:rsidRPr="003A46C9">
              <w:rPr>
                <w:rFonts w:eastAsia="Times New Roman"/>
                <w:i/>
                <w:sz w:val="20"/>
                <w:szCs w:val="20"/>
                <w:lang w:val="ru-RU"/>
              </w:rPr>
              <w:t xml:space="preserve"> </w:t>
            </w:r>
            <w:r w:rsidR="006C6058" w:rsidRPr="008E5DA4">
              <w:rPr>
                <w:rFonts w:eastAsia="Times New Roman"/>
                <w:i/>
                <w:sz w:val="20"/>
                <w:szCs w:val="20"/>
              </w:rPr>
              <w:t>R</w:t>
            </w:r>
            <w:r w:rsidR="006C6058" w:rsidRPr="003A46C9">
              <w:rPr>
                <w:rFonts w:eastAsia="Times New Roman"/>
                <w:i/>
                <w:sz w:val="20"/>
                <w:szCs w:val="20"/>
                <w:lang w:val="ru-RU"/>
              </w:rPr>
              <w:t xml:space="preserve">4 = </w:t>
            </w:r>
            <w:r>
              <w:rPr>
                <w:rFonts w:eastAsia="Times New Roman"/>
                <w:i/>
                <w:sz w:val="20"/>
                <w:szCs w:val="20"/>
                <w:lang w:val="bg-BG"/>
              </w:rPr>
              <w:t>Изследователи с голяма степен на автономност, обикновено със статут на водещи изследователи или професори</w:t>
            </w:r>
          </w:p>
        </w:tc>
        <w:tc>
          <w:tcPr>
            <w:tcW w:w="2119" w:type="dxa"/>
            <w:shd w:val="clear" w:color="auto" w:fill="auto"/>
          </w:tcPr>
          <w:p w14:paraId="5A4AD379" w14:textId="61B6F075" w:rsidR="006C6058" w:rsidRPr="008E5DA4" w:rsidRDefault="006C6058" w:rsidP="008E5DA4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</w:rPr>
            </w:pPr>
            <w:r w:rsidRPr="008E5DA4">
              <w:rPr>
                <w:rFonts w:eastAsia="Times New Roman"/>
                <w:i/>
                <w:sz w:val="20"/>
                <w:szCs w:val="20"/>
              </w:rPr>
              <w:t>*</w:t>
            </w:r>
            <w:r w:rsidR="00042F64">
              <w:rPr>
                <w:rFonts w:eastAsia="Times New Roman"/>
                <w:i/>
                <w:sz w:val="20"/>
                <w:szCs w:val="20"/>
              </w:rPr>
              <w:t>65+313=378</w:t>
            </w:r>
          </w:p>
        </w:tc>
      </w:tr>
      <w:tr w:rsidR="006C6058" w:rsidRPr="008E5DA4" w14:paraId="3E844F48" w14:textId="77777777" w:rsidTr="008E5DA4">
        <w:tc>
          <w:tcPr>
            <w:tcW w:w="6941" w:type="dxa"/>
            <w:shd w:val="clear" w:color="auto" w:fill="auto"/>
          </w:tcPr>
          <w:p w14:paraId="1F68CFF2" w14:textId="506DAFC2" w:rsidR="006C6058" w:rsidRPr="003A46C9" w:rsidRDefault="0072538B" w:rsidP="002F482D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ru-RU"/>
              </w:rPr>
            </w:pPr>
            <w:r>
              <w:rPr>
                <w:rFonts w:eastAsia="Times New Roman"/>
                <w:i/>
                <w:sz w:val="20"/>
                <w:szCs w:val="20"/>
                <w:lang w:val="bg-BG"/>
              </w:rPr>
              <w:t xml:space="preserve">От тях </w:t>
            </w:r>
            <w:r w:rsidR="002F482D">
              <w:rPr>
                <w:rFonts w:eastAsia="Times New Roman"/>
                <w:i/>
                <w:sz w:val="20"/>
                <w:szCs w:val="20"/>
                <w:lang w:val="bg-BG"/>
              </w:rPr>
              <w:t>колко</w:t>
            </w:r>
            <w:r>
              <w:rPr>
                <w:rFonts w:eastAsia="Times New Roman"/>
                <w:i/>
                <w:sz w:val="20"/>
                <w:szCs w:val="20"/>
                <w:lang w:val="bg-BG"/>
              </w:rPr>
              <w:t xml:space="preserve"> са на ниво</w:t>
            </w:r>
            <w:r w:rsidR="006C6058" w:rsidRPr="003A46C9">
              <w:rPr>
                <w:rFonts w:eastAsia="Times New Roman"/>
                <w:i/>
                <w:sz w:val="20"/>
                <w:szCs w:val="20"/>
                <w:lang w:val="ru-RU"/>
              </w:rPr>
              <w:t xml:space="preserve"> </w:t>
            </w:r>
            <w:r w:rsidR="006C6058" w:rsidRPr="008E5DA4">
              <w:rPr>
                <w:rFonts w:eastAsia="Times New Roman"/>
                <w:i/>
                <w:sz w:val="20"/>
                <w:szCs w:val="20"/>
              </w:rPr>
              <w:t>R</w:t>
            </w:r>
            <w:r w:rsidR="006C6058" w:rsidRPr="003A46C9">
              <w:rPr>
                <w:rFonts w:eastAsia="Times New Roman"/>
                <w:i/>
                <w:sz w:val="20"/>
                <w:szCs w:val="20"/>
                <w:lang w:val="ru-RU"/>
              </w:rPr>
              <w:t xml:space="preserve">2 = </w:t>
            </w:r>
            <w:r>
              <w:rPr>
                <w:rFonts w:eastAsia="Times New Roman"/>
                <w:i/>
                <w:sz w:val="20"/>
                <w:szCs w:val="20"/>
                <w:lang w:val="bg-BG"/>
              </w:rPr>
              <w:t>в повечето организации отговаря на ниво пост-докторанти</w:t>
            </w:r>
          </w:p>
        </w:tc>
        <w:tc>
          <w:tcPr>
            <w:tcW w:w="2119" w:type="dxa"/>
            <w:shd w:val="clear" w:color="auto" w:fill="auto"/>
          </w:tcPr>
          <w:p w14:paraId="12FE3D5A" w14:textId="1228D592" w:rsidR="006C6058" w:rsidRPr="008E5DA4" w:rsidRDefault="006C6058" w:rsidP="008E5DA4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</w:rPr>
            </w:pPr>
            <w:r w:rsidRPr="008E5DA4">
              <w:rPr>
                <w:rFonts w:eastAsia="Times New Roman"/>
                <w:i/>
                <w:sz w:val="20"/>
                <w:szCs w:val="20"/>
              </w:rPr>
              <w:t>*</w:t>
            </w:r>
            <w:r w:rsidR="00042F64">
              <w:rPr>
                <w:rFonts w:eastAsia="Times New Roman"/>
                <w:i/>
                <w:sz w:val="20"/>
                <w:szCs w:val="20"/>
              </w:rPr>
              <w:t>242</w:t>
            </w:r>
          </w:p>
        </w:tc>
      </w:tr>
      <w:tr w:rsidR="006C6058" w:rsidRPr="008E5DA4" w14:paraId="5057FEC5" w14:textId="77777777" w:rsidTr="008E5DA4">
        <w:tc>
          <w:tcPr>
            <w:tcW w:w="6941" w:type="dxa"/>
            <w:shd w:val="clear" w:color="auto" w:fill="auto"/>
          </w:tcPr>
          <w:p w14:paraId="74E24FB9" w14:textId="712A2217" w:rsidR="006C6058" w:rsidRPr="003A46C9" w:rsidRDefault="0072538B" w:rsidP="002F482D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ru-RU"/>
              </w:rPr>
            </w:pPr>
            <w:r>
              <w:rPr>
                <w:rFonts w:eastAsia="Times New Roman"/>
                <w:i/>
                <w:sz w:val="20"/>
                <w:szCs w:val="20"/>
                <w:lang w:val="bg-BG"/>
              </w:rPr>
              <w:t xml:space="preserve">От тях </w:t>
            </w:r>
            <w:r w:rsidR="002F482D">
              <w:rPr>
                <w:rFonts w:eastAsia="Times New Roman"/>
                <w:i/>
                <w:sz w:val="20"/>
                <w:szCs w:val="20"/>
                <w:lang w:val="bg-BG"/>
              </w:rPr>
              <w:t>колко</w:t>
            </w:r>
            <w:r>
              <w:rPr>
                <w:rFonts w:eastAsia="Times New Roman"/>
                <w:i/>
                <w:sz w:val="20"/>
                <w:szCs w:val="20"/>
                <w:lang w:val="bg-BG"/>
              </w:rPr>
              <w:t xml:space="preserve"> са на ниво</w:t>
            </w:r>
            <w:r w:rsidRPr="003A46C9">
              <w:rPr>
                <w:rFonts w:eastAsia="Times New Roman"/>
                <w:i/>
                <w:sz w:val="20"/>
                <w:szCs w:val="20"/>
                <w:lang w:val="ru-RU"/>
              </w:rPr>
              <w:t xml:space="preserve"> </w:t>
            </w:r>
            <w:r w:rsidR="006C6058" w:rsidRPr="008E5DA4">
              <w:rPr>
                <w:rFonts w:eastAsia="Times New Roman"/>
                <w:i/>
                <w:sz w:val="20"/>
                <w:szCs w:val="20"/>
              </w:rPr>
              <w:t>R</w:t>
            </w:r>
            <w:r w:rsidR="006C6058" w:rsidRPr="003A46C9">
              <w:rPr>
                <w:rFonts w:eastAsia="Times New Roman"/>
                <w:i/>
                <w:sz w:val="20"/>
                <w:szCs w:val="20"/>
                <w:lang w:val="ru-RU"/>
              </w:rPr>
              <w:t>1</w:t>
            </w:r>
            <w:r w:rsidR="002F482D">
              <w:rPr>
                <w:rFonts w:eastAsia="Times New Roman"/>
                <w:i/>
                <w:sz w:val="20"/>
                <w:szCs w:val="20"/>
                <w:lang w:val="bg-BG"/>
              </w:rPr>
              <w:t xml:space="preserve"> =</w:t>
            </w:r>
            <w:r w:rsidR="006C6058" w:rsidRPr="003A46C9">
              <w:rPr>
                <w:rFonts w:eastAsia="Times New Roman"/>
                <w:i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/>
                <w:i/>
                <w:sz w:val="20"/>
                <w:szCs w:val="20"/>
                <w:lang w:val="bg-BG"/>
              </w:rPr>
              <w:t>в повечето организации отговаря на ниво докторанти</w:t>
            </w:r>
          </w:p>
        </w:tc>
        <w:tc>
          <w:tcPr>
            <w:tcW w:w="2119" w:type="dxa"/>
            <w:shd w:val="clear" w:color="auto" w:fill="auto"/>
          </w:tcPr>
          <w:p w14:paraId="291972DB" w14:textId="31D40B5F" w:rsidR="006C6058" w:rsidRPr="008E5DA4" w:rsidRDefault="006C6058" w:rsidP="008E5DA4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</w:rPr>
            </w:pPr>
            <w:r w:rsidRPr="008E5DA4">
              <w:rPr>
                <w:rFonts w:eastAsia="Times New Roman"/>
                <w:i/>
                <w:sz w:val="20"/>
                <w:szCs w:val="20"/>
              </w:rPr>
              <w:t>*</w:t>
            </w:r>
            <w:r w:rsidR="00042F64">
              <w:rPr>
                <w:rFonts w:eastAsia="Times New Roman"/>
                <w:i/>
                <w:sz w:val="20"/>
                <w:szCs w:val="20"/>
              </w:rPr>
              <w:t>381</w:t>
            </w:r>
          </w:p>
        </w:tc>
      </w:tr>
      <w:tr w:rsidR="006C6058" w:rsidRPr="008E5DA4" w14:paraId="3FA8B95B" w14:textId="77777777" w:rsidTr="008E5DA4">
        <w:tc>
          <w:tcPr>
            <w:tcW w:w="6941" w:type="dxa"/>
            <w:shd w:val="clear" w:color="auto" w:fill="auto"/>
          </w:tcPr>
          <w:p w14:paraId="5AD5A2C8" w14:textId="58C5C582" w:rsidR="006C6058" w:rsidRPr="003A46C9" w:rsidRDefault="0072538B" w:rsidP="00677ACA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ru-RU"/>
              </w:rPr>
            </w:pPr>
            <w:r>
              <w:rPr>
                <w:rFonts w:eastAsia="Times New Roman"/>
                <w:i/>
                <w:sz w:val="20"/>
                <w:szCs w:val="20"/>
                <w:lang w:val="bg-BG"/>
              </w:rPr>
              <w:t>Общ брой студенти</w:t>
            </w:r>
            <w:r w:rsidR="006C6058" w:rsidRPr="003A46C9">
              <w:rPr>
                <w:rFonts w:eastAsia="Times New Roman"/>
                <w:i/>
                <w:sz w:val="20"/>
                <w:szCs w:val="20"/>
                <w:lang w:val="ru-RU"/>
              </w:rPr>
              <w:t xml:space="preserve"> (</w:t>
            </w:r>
            <w:r w:rsidR="00677ACA">
              <w:rPr>
                <w:rFonts w:eastAsia="Times New Roman"/>
                <w:i/>
                <w:sz w:val="20"/>
                <w:szCs w:val="20"/>
                <w:lang w:val="bg-BG"/>
              </w:rPr>
              <w:t>ако е приложимо</w:t>
            </w:r>
            <w:r w:rsidR="006C6058" w:rsidRPr="003A46C9">
              <w:rPr>
                <w:rFonts w:eastAsia="Times New Roman"/>
                <w:i/>
                <w:sz w:val="20"/>
                <w:szCs w:val="20"/>
                <w:lang w:val="ru-RU"/>
              </w:rPr>
              <w:t>)</w:t>
            </w:r>
          </w:p>
        </w:tc>
        <w:tc>
          <w:tcPr>
            <w:tcW w:w="2119" w:type="dxa"/>
            <w:shd w:val="clear" w:color="auto" w:fill="auto"/>
          </w:tcPr>
          <w:p w14:paraId="50D2BCFB" w14:textId="7C852CBC" w:rsidR="006C6058" w:rsidRPr="008E5DA4" w:rsidRDefault="006664C5" w:rsidP="008E5DA4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7000</w:t>
            </w:r>
          </w:p>
        </w:tc>
      </w:tr>
      <w:tr w:rsidR="006C6058" w:rsidRPr="008E5DA4" w14:paraId="4953508F" w14:textId="77777777" w:rsidTr="008E5DA4">
        <w:tc>
          <w:tcPr>
            <w:tcW w:w="6941" w:type="dxa"/>
            <w:tcBorders>
              <w:bottom w:val="single" w:sz="4" w:space="0" w:color="auto"/>
            </w:tcBorders>
            <w:shd w:val="clear" w:color="auto" w:fill="auto"/>
          </w:tcPr>
          <w:p w14:paraId="46DBBF89" w14:textId="2C81E0E0" w:rsidR="006C6058" w:rsidRPr="003A46C9" w:rsidRDefault="00677ACA" w:rsidP="00677ACA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ru-RU"/>
              </w:rPr>
            </w:pPr>
            <w:r>
              <w:rPr>
                <w:rFonts w:eastAsia="Times New Roman"/>
                <w:i/>
                <w:sz w:val="20"/>
                <w:szCs w:val="20"/>
                <w:lang w:val="bg-BG"/>
              </w:rPr>
              <w:t>Общ брой на персонала</w:t>
            </w:r>
            <w:r w:rsidR="006C6058" w:rsidRPr="003A46C9">
              <w:rPr>
                <w:rFonts w:eastAsia="Times New Roman"/>
                <w:i/>
                <w:sz w:val="20"/>
                <w:szCs w:val="20"/>
                <w:lang w:val="ru-RU"/>
              </w:rPr>
              <w:t xml:space="preserve"> (</w:t>
            </w:r>
            <w:r>
              <w:rPr>
                <w:rFonts w:eastAsia="Times New Roman"/>
                <w:i/>
                <w:sz w:val="20"/>
                <w:szCs w:val="20"/>
                <w:lang w:val="bg-BG"/>
              </w:rPr>
              <w:t>включително управляващият</w:t>
            </w:r>
            <w:r w:rsidR="006C6058" w:rsidRPr="003A46C9">
              <w:rPr>
                <w:rFonts w:eastAsia="Times New Roman"/>
                <w:i/>
                <w:sz w:val="20"/>
                <w:szCs w:val="20"/>
                <w:lang w:val="ru-RU"/>
              </w:rPr>
              <w:t xml:space="preserve">, </w:t>
            </w:r>
            <w:r>
              <w:rPr>
                <w:rFonts w:eastAsia="Times New Roman"/>
                <w:i/>
                <w:sz w:val="20"/>
                <w:szCs w:val="20"/>
                <w:lang w:val="bg-BG"/>
              </w:rPr>
              <w:t>административният</w:t>
            </w:r>
            <w:r w:rsidR="006C6058" w:rsidRPr="003A46C9">
              <w:rPr>
                <w:rFonts w:eastAsia="Times New Roman"/>
                <w:i/>
                <w:sz w:val="20"/>
                <w:szCs w:val="20"/>
                <w:lang w:val="ru-RU"/>
              </w:rPr>
              <w:t xml:space="preserve">, </w:t>
            </w:r>
            <w:r>
              <w:rPr>
                <w:rFonts w:eastAsia="Times New Roman"/>
                <w:i/>
                <w:sz w:val="20"/>
                <w:szCs w:val="20"/>
                <w:lang w:val="bg-BG"/>
              </w:rPr>
              <w:t>преподавателският и научно-изследователският персонал</w:t>
            </w:r>
            <w:r w:rsidR="006C6058" w:rsidRPr="003A46C9">
              <w:rPr>
                <w:rFonts w:eastAsia="Times New Roman"/>
                <w:i/>
                <w:sz w:val="20"/>
                <w:szCs w:val="20"/>
                <w:lang w:val="ru-RU"/>
              </w:rPr>
              <w:t>)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auto"/>
          </w:tcPr>
          <w:p w14:paraId="774FBEB0" w14:textId="5B2CC1A3" w:rsidR="006C6058" w:rsidRPr="008E5DA4" w:rsidRDefault="006C6058" w:rsidP="008E5DA4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</w:rPr>
            </w:pPr>
            <w:r w:rsidRPr="008E5DA4">
              <w:rPr>
                <w:rFonts w:eastAsia="Times New Roman"/>
                <w:i/>
                <w:sz w:val="20"/>
                <w:szCs w:val="20"/>
              </w:rPr>
              <w:t>*</w:t>
            </w:r>
            <w:r w:rsidR="00042F64">
              <w:rPr>
                <w:rFonts w:eastAsia="Times New Roman"/>
                <w:i/>
                <w:sz w:val="20"/>
                <w:szCs w:val="20"/>
              </w:rPr>
              <w:t>1950</w:t>
            </w:r>
          </w:p>
        </w:tc>
      </w:tr>
      <w:tr w:rsidR="006C6058" w:rsidRPr="008E5DA4" w14:paraId="04B289CD" w14:textId="77777777" w:rsidTr="008E5DA4">
        <w:tc>
          <w:tcPr>
            <w:tcW w:w="6941" w:type="dxa"/>
            <w:shd w:val="clear" w:color="auto" w:fill="D9D9D9"/>
          </w:tcPr>
          <w:p w14:paraId="1C466A13" w14:textId="567C2EFE" w:rsidR="006C6058" w:rsidRPr="003A46C9" w:rsidRDefault="00C70390" w:rsidP="00C7039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bg-BG"/>
              </w:rPr>
              <w:t>ФИНАНСИРАНЕ НА НАУЧНИТЕ ИЗСЛЕДВАНИЯ</w:t>
            </w:r>
            <w:r w:rsidR="006C6058" w:rsidRPr="003A46C9">
              <w:rPr>
                <w:rFonts w:eastAsia="Times New Roman"/>
                <w:b/>
                <w:i/>
                <w:sz w:val="24"/>
                <w:szCs w:val="24"/>
                <w:lang w:val="ru-RU"/>
              </w:rPr>
              <w:t xml:space="preserve"> (</w:t>
            </w:r>
            <w:r>
              <w:rPr>
                <w:rFonts w:eastAsia="Times New Roman"/>
                <w:b/>
                <w:i/>
                <w:sz w:val="24"/>
                <w:szCs w:val="24"/>
                <w:lang w:val="bg-BG"/>
              </w:rPr>
              <w:t>данни за последната фискална година</w:t>
            </w:r>
            <w:r w:rsidR="006C6058" w:rsidRPr="003A46C9">
              <w:rPr>
                <w:rFonts w:eastAsia="Times New Roman"/>
                <w:b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2119" w:type="dxa"/>
            <w:shd w:val="clear" w:color="auto" w:fill="D9D9D9"/>
          </w:tcPr>
          <w:p w14:paraId="54601280" w14:textId="77777777" w:rsidR="006C6058" w:rsidRPr="008E5DA4" w:rsidRDefault="006C6058" w:rsidP="008E5DA4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8E5DA4">
              <w:rPr>
                <w:rFonts w:eastAsia="Times New Roman"/>
                <w:i/>
                <w:sz w:val="24"/>
                <w:szCs w:val="24"/>
              </w:rPr>
              <w:t>€</w:t>
            </w:r>
          </w:p>
        </w:tc>
      </w:tr>
      <w:tr w:rsidR="006C6058" w:rsidRPr="008E5DA4" w14:paraId="29B75830" w14:textId="77777777" w:rsidTr="008E5DA4">
        <w:tc>
          <w:tcPr>
            <w:tcW w:w="6941" w:type="dxa"/>
            <w:shd w:val="clear" w:color="auto" w:fill="auto"/>
          </w:tcPr>
          <w:p w14:paraId="505D3405" w14:textId="4B31B9C6" w:rsidR="006C6058" w:rsidRPr="00C70390" w:rsidRDefault="000174FB" w:rsidP="008E5DA4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bg-BG"/>
              </w:rPr>
            </w:pPr>
            <w:r>
              <w:rPr>
                <w:rFonts w:eastAsia="Times New Roman"/>
                <w:i/>
                <w:sz w:val="20"/>
                <w:szCs w:val="20"/>
                <w:lang w:val="bg-BG"/>
              </w:rPr>
              <w:t>Г</w:t>
            </w:r>
            <w:r w:rsidR="00C70390">
              <w:rPr>
                <w:rFonts w:eastAsia="Times New Roman"/>
                <w:i/>
                <w:sz w:val="20"/>
                <w:szCs w:val="20"/>
                <w:lang w:val="bg-BG"/>
              </w:rPr>
              <w:t>одишен бюджет на организацията</w:t>
            </w:r>
          </w:p>
        </w:tc>
        <w:tc>
          <w:tcPr>
            <w:tcW w:w="2119" w:type="dxa"/>
            <w:shd w:val="clear" w:color="auto" w:fill="auto"/>
          </w:tcPr>
          <w:p w14:paraId="22A186A6" w14:textId="511311C0" w:rsidR="006C6058" w:rsidRPr="008E5DA4" w:rsidRDefault="00C57DDC" w:rsidP="008E5DA4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highlight w:val="yellow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42 469 558</w:t>
            </w:r>
          </w:p>
        </w:tc>
      </w:tr>
      <w:tr w:rsidR="006C6058" w:rsidRPr="003A46C9" w14:paraId="441F7122" w14:textId="77777777" w:rsidTr="008E5DA4">
        <w:tc>
          <w:tcPr>
            <w:tcW w:w="6941" w:type="dxa"/>
            <w:shd w:val="clear" w:color="auto" w:fill="auto"/>
          </w:tcPr>
          <w:p w14:paraId="79BEE0A8" w14:textId="47DF33A6" w:rsidR="006C6058" w:rsidRPr="00C70390" w:rsidRDefault="00787187" w:rsidP="000F4664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bg-BG"/>
              </w:rPr>
            </w:pPr>
            <w:r>
              <w:rPr>
                <w:rFonts w:eastAsia="Times New Roman"/>
                <w:i/>
                <w:sz w:val="20"/>
                <w:szCs w:val="20"/>
                <w:lang w:val="bg-BG"/>
              </w:rPr>
              <w:t>Ср</w:t>
            </w:r>
            <w:r w:rsidRPr="00787187">
              <w:rPr>
                <w:rFonts w:eastAsia="Times New Roman"/>
                <w:i/>
                <w:sz w:val="20"/>
                <w:szCs w:val="20"/>
                <w:lang w:val="bg-BG"/>
              </w:rPr>
              <w:t xml:space="preserve">едства, отпуснати целево от държавния бюджет за финансиране на присъщата на държавните висши училища научна или художественотворческа дейност </w:t>
            </w:r>
            <w:r>
              <w:rPr>
                <w:rFonts w:eastAsia="Times New Roman"/>
                <w:i/>
                <w:sz w:val="20"/>
                <w:szCs w:val="20"/>
                <w:lang w:val="bg-BG"/>
              </w:rPr>
              <w:t>(предвидени</w:t>
            </w:r>
            <w:r w:rsidR="00C70390">
              <w:rPr>
                <w:rFonts w:eastAsia="Times New Roman"/>
                <w:i/>
                <w:sz w:val="20"/>
                <w:szCs w:val="20"/>
                <w:lang w:val="bg-BG"/>
              </w:rPr>
              <w:t xml:space="preserve"> за научни изследвания)</w:t>
            </w:r>
          </w:p>
        </w:tc>
        <w:tc>
          <w:tcPr>
            <w:tcW w:w="2119" w:type="dxa"/>
            <w:shd w:val="clear" w:color="auto" w:fill="auto"/>
          </w:tcPr>
          <w:p w14:paraId="2ABD8837" w14:textId="54407A49" w:rsidR="006C6058" w:rsidRPr="00FE6493" w:rsidRDefault="000A6D2F" w:rsidP="008E5DA4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highlight w:val="yellow"/>
                <w:lang w:val="en-US"/>
              </w:rPr>
            </w:pPr>
            <w:r>
              <w:rPr>
                <w:rFonts w:eastAsia="Times New Roman"/>
                <w:i/>
                <w:sz w:val="20"/>
                <w:szCs w:val="20"/>
                <w:lang w:val="en-US"/>
              </w:rPr>
              <w:t xml:space="preserve">     </w:t>
            </w:r>
            <w:r w:rsidR="00303677" w:rsidRPr="00303677">
              <w:rPr>
                <w:rFonts w:eastAsia="Times New Roman"/>
                <w:i/>
                <w:sz w:val="20"/>
                <w:szCs w:val="20"/>
                <w:lang w:val="en-US"/>
              </w:rPr>
              <w:t>381</w:t>
            </w:r>
            <w:r>
              <w:rPr>
                <w:rFonts w:eastAsia="Times New Roman"/>
                <w:i/>
                <w:sz w:val="20"/>
                <w:szCs w:val="20"/>
                <w:lang w:val="en-US"/>
              </w:rPr>
              <w:t xml:space="preserve"> </w:t>
            </w:r>
            <w:r w:rsidR="00303677" w:rsidRPr="00303677">
              <w:rPr>
                <w:rFonts w:eastAsia="Times New Roman"/>
                <w:i/>
                <w:sz w:val="20"/>
                <w:szCs w:val="20"/>
                <w:lang w:val="en-US"/>
              </w:rPr>
              <w:t>776</w:t>
            </w:r>
          </w:p>
        </w:tc>
      </w:tr>
      <w:tr w:rsidR="006C6058" w:rsidRPr="003A46C9" w14:paraId="724F62F5" w14:textId="77777777" w:rsidTr="008E5DA4">
        <w:tc>
          <w:tcPr>
            <w:tcW w:w="6941" w:type="dxa"/>
            <w:shd w:val="clear" w:color="auto" w:fill="auto"/>
          </w:tcPr>
          <w:p w14:paraId="05440650" w14:textId="4F3A427F" w:rsidR="006C6058" w:rsidRPr="003A46C9" w:rsidRDefault="000F4664" w:rsidP="00787187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ru-RU"/>
              </w:rPr>
            </w:pPr>
            <w:r w:rsidRPr="000F4664">
              <w:rPr>
                <w:rFonts w:eastAsia="Times New Roman"/>
                <w:i/>
                <w:sz w:val="20"/>
                <w:szCs w:val="20"/>
                <w:lang w:val="bg-BG"/>
              </w:rPr>
              <w:t>Държавна субсидия за научна дейност, разпределяна на конкур</w:t>
            </w:r>
            <w:r>
              <w:rPr>
                <w:rFonts w:eastAsia="Times New Roman"/>
                <w:i/>
                <w:sz w:val="20"/>
                <w:szCs w:val="20"/>
                <w:lang w:val="bg-BG"/>
              </w:rPr>
              <w:t>се</w:t>
            </w:r>
            <w:r w:rsidRPr="000F4664">
              <w:rPr>
                <w:rFonts w:eastAsia="Times New Roman"/>
                <w:i/>
                <w:sz w:val="20"/>
                <w:szCs w:val="20"/>
                <w:lang w:val="bg-BG"/>
              </w:rPr>
              <w:t>н принцип</w:t>
            </w:r>
            <w:r w:rsidR="006C6058" w:rsidRPr="003A46C9">
              <w:rPr>
                <w:rFonts w:eastAsia="Times New Roman"/>
                <w:i/>
                <w:sz w:val="20"/>
                <w:szCs w:val="20"/>
                <w:lang w:val="ru-RU"/>
              </w:rPr>
              <w:t xml:space="preserve"> (</w:t>
            </w:r>
            <w:r>
              <w:rPr>
                <w:rFonts w:eastAsia="Times New Roman"/>
                <w:i/>
                <w:sz w:val="20"/>
                <w:szCs w:val="20"/>
                <w:lang w:val="bg-BG"/>
              </w:rPr>
              <w:t>предвидена</w:t>
            </w:r>
            <w:r w:rsidR="00C70390">
              <w:rPr>
                <w:rFonts w:eastAsia="Times New Roman"/>
                <w:i/>
                <w:sz w:val="20"/>
                <w:szCs w:val="20"/>
                <w:lang w:val="bg-BG"/>
              </w:rPr>
              <w:t xml:space="preserve"> за научни изследвания </w:t>
            </w:r>
            <w:r w:rsidR="00C70390">
              <w:rPr>
                <w:rFonts w:eastAsia="Times New Roman"/>
                <w:i/>
                <w:sz w:val="20"/>
                <w:szCs w:val="20"/>
                <w:lang w:val="bg-BG"/>
              </w:rPr>
              <w:lastRenderedPageBreak/>
              <w:t xml:space="preserve">придобити </w:t>
            </w:r>
            <w:r w:rsidR="00787187">
              <w:rPr>
                <w:rFonts w:eastAsia="Times New Roman"/>
                <w:i/>
                <w:sz w:val="20"/>
                <w:szCs w:val="20"/>
                <w:lang w:val="bg-BG"/>
              </w:rPr>
              <w:t>на конкурсен принцип</w:t>
            </w:r>
            <w:r w:rsidR="00B87E72" w:rsidRPr="003A46C9">
              <w:rPr>
                <w:rFonts w:eastAsia="Times New Roman"/>
                <w:i/>
                <w:sz w:val="20"/>
                <w:szCs w:val="20"/>
                <w:lang w:val="ru-RU"/>
              </w:rPr>
              <w:t xml:space="preserve"> </w:t>
            </w:r>
            <w:r w:rsidR="00B87E72">
              <w:rPr>
                <w:rFonts w:eastAsia="Times New Roman"/>
                <w:i/>
                <w:sz w:val="20"/>
                <w:szCs w:val="20"/>
                <w:lang w:val="bg-BG"/>
              </w:rPr>
              <w:t>в съревнование</w:t>
            </w:r>
            <w:r w:rsidR="00C70390">
              <w:rPr>
                <w:rFonts w:eastAsia="Times New Roman"/>
                <w:i/>
                <w:sz w:val="20"/>
                <w:szCs w:val="20"/>
                <w:lang w:val="bg-BG"/>
              </w:rPr>
              <w:t xml:space="preserve"> с други организации – включително финансиране от ЕС)</w:t>
            </w:r>
            <w:r w:rsidR="006C6058" w:rsidRPr="003A46C9">
              <w:rPr>
                <w:rFonts w:eastAsia="Times New Roman"/>
                <w:i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19" w:type="dxa"/>
            <w:shd w:val="clear" w:color="auto" w:fill="auto"/>
          </w:tcPr>
          <w:p w14:paraId="1DB2E030" w14:textId="3C1326A6" w:rsidR="006C6058" w:rsidRPr="003A46C9" w:rsidRDefault="000A6D2F" w:rsidP="008E5DA4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ru-RU"/>
              </w:rPr>
            </w:pPr>
            <w:r>
              <w:rPr>
                <w:rFonts w:eastAsia="Times New Roman"/>
                <w:i/>
                <w:sz w:val="20"/>
                <w:szCs w:val="20"/>
                <w:lang w:val="en-US"/>
              </w:rPr>
              <w:lastRenderedPageBreak/>
              <w:t xml:space="preserve">  </w:t>
            </w:r>
            <w:r w:rsidR="00303677" w:rsidRPr="00303677">
              <w:rPr>
                <w:rFonts w:eastAsia="Times New Roman"/>
                <w:i/>
                <w:sz w:val="20"/>
                <w:szCs w:val="20"/>
                <w:lang w:val="ru-RU"/>
              </w:rPr>
              <w:t>2</w:t>
            </w:r>
            <w:r>
              <w:rPr>
                <w:rFonts w:eastAsia="Times New Roman"/>
                <w:i/>
                <w:sz w:val="20"/>
                <w:szCs w:val="20"/>
                <w:lang w:val="en-US"/>
              </w:rPr>
              <w:t xml:space="preserve"> </w:t>
            </w:r>
            <w:r w:rsidR="00303677" w:rsidRPr="00303677">
              <w:rPr>
                <w:rFonts w:eastAsia="Times New Roman"/>
                <w:i/>
                <w:sz w:val="20"/>
                <w:szCs w:val="20"/>
                <w:lang w:val="ru-RU"/>
              </w:rPr>
              <w:t>571</w:t>
            </w:r>
            <w:r>
              <w:rPr>
                <w:rFonts w:eastAsia="Times New Roman"/>
                <w:i/>
                <w:sz w:val="20"/>
                <w:szCs w:val="20"/>
                <w:lang w:val="en-US"/>
              </w:rPr>
              <w:t xml:space="preserve"> </w:t>
            </w:r>
            <w:r w:rsidR="00303677" w:rsidRPr="00303677">
              <w:rPr>
                <w:rFonts w:eastAsia="Times New Roman"/>
                <w:i/>
                <w:sz w:val="20"/>
                <w:szCs w:val="20"/>
                <w:lang w:val="ru-RU"/>
              </w:rPr>
              <w:t>791</w:t>
            </w:r>
          </w:p>
        </w:tc>
      </w:tr>
      <w:tr w:rsidR="006C6058" w:rsidRPr="003A46C9" w14:paraId="6EFAE559" w14:textId="77777777" w:rsidTr="008E5DA4">
        <w:tc>
          <w:tcPr>
            <w:tcW w:w="6941" w:type="dxa"/>
            <w:tcBorders>
              <w:bottom w:val="single" w:sz="4" w:space="0" w:color="auto"/>
            </w:tcBorders>
            <w:shd w:val="clear" w:color="auto" w:fill="auto"/>
          </w:tcPr>
          <w:p w14:paraId="6A9442D1" w14:textId="632A7304" w:rsidR="006C6058" w:rsidRPr="003A46C9" w:rsidRDefault="006C6058" w:rsidP="00C87818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ru-RU"/>
              </w:rPr>
            </w:pPr>
            <w:r w:rsidRPr="003A46C9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 w:rsidR="00AA5B70" w:rsidRPr="00B87E72">
              <w:rPr>
                <w:rFonts w:eastAsia="Times New Roman"/>
                <w:i/>
                <w:sz w:val="20"/>
                <w:szCs w:val="20"/>
                <w:lang w:val="bg-BG"/>
              </w:rPr>
              <w:t xml:space="preserve">Годишно финансиране от частни неправителствени </w:t>
            </w:r>
            <w:r w:rsidR="00C87818" w:rsidRPr="00B87E72">
              <w:rPr>
                <w:rFonts w:eastAsia="Times New Roman"/>
                <w:i/>
                <w:sz w:val="20"/>
                <w:szCs w:val="20"/>
                <w:lang w:val="bg-BG"/>
              </w:rPr>
              <w:t>организации</w:t>
            </w:r>
            <w:r w:rsidR="00B87E72">
              <w:rPr>
                <w:rFonts w:eastAsia="Times New Roman"/>
                <w:i/>
                <w:sz w:val="20"/>
                <w:szCs w:val="20"/>
                <w:lang w:val="bg-BG"/>
              </w:rPr>
              <w:t>, с дейност насочена към</w:t>
            </w:r>
            <w:r w:rsidR="00AA5B70" w:rsidRPr="00B87E72">
              <w:rPr>
                <w:rFonts w:eastAsia="Times New Roman"/>
                <w:i/>
                <w:sz w:val="20"/>
                <w:szCs w:val="20"/>
                <w:lang w:val="bg-BG"/>
              </w:rPr>
              <w:t xml:space="preserve"> научни изследвания 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auto"/>
          </w:tcPr>
          <w:p w14:paraId="54D448D5" w14:textId="20384623" w:rsidR="006C6058" w:rsidRPr="00C45F31" w:rsidRDefault="00C45F31" w:rsidP="008E5DA4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en-US"/>
              </w:rPr>
            </w:pPr>
            <w:r>
              <w:rPr>
                <w:rFonts w:eastAsia="Times New Roman"/>
                <w:i/>
                <w:sz w:val="20"/>
                <w:szCs w:val="20"/>
                <w:lang w:val="en-US"/>
              </w:rPr>
              <w:t>0</w:t>
            </w:r>
          </w:p>
        </w:tc>
      </w:tr>
      <w:tr w:rsidR="006C6058" w:rsidRPr="003A46C9" w14:paraId="13E1B767" w14:textId="77777777" w:rsidTr="008E5DA4">
        <w:tc>
          <w:tcPr>
            <w:tcW w:w="9060" w:type="dxa"/>
            <w:gridSpan w:val="2"/>
            <w:shd w:val="clear" w:color="auto" w:fill="D9D9D9"/>
          </w:tcPr>
          <w:p w14:paraId="2A3D7C99" w14:textId="58E9741C" w:rsidR="006C6058" w:rsidRPr="003A46C9" w:rsidRDefault="00AA5B70" w:rsidP="00AA5B70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bg-BG"/>
              </w:rPr>
              <w:t>ПРОФИЛ НА ОРГАНИЗАЦИЯТА</w:t>
            </w:r>
            <w:r w:rsidR="006C6058" w:rsidRPr="003A46C9">
              <w:rPr>
                <w:rFonts w:eastAsia="Times New Roman"/>
                <w:b/>
                <w:i/>
                <w:sz w:val="20"/>
                <w:szCs w:val="20"/>
                <w:lang w:val="ru-RU"/>
              </w:rPr>
              <w:t xml:space="preserve"> (</w:t>
            </w:r>
            <w:r>
              <w:rPr>
                <w:rFonts w:eastAsia="Times New Roman"/>
                <w:b/>
                <w:i/>
                <w:sz w:val="20"/>
                <w:szCs w:val="20"/>
                <w:lang w:val="bg-BG"/>
              </w:rPr>
              <w:t>кратко описание на вашата организация, максимум 100 думи</w:t>
            </w:r>
            <w:r w:rsidR="006C6058" w:rsidRPr="003A46C9">
              <w:rPr>
                <w:rFonts w:eastAsia="Times New Roman"/>
                <w:b/>
                <w:i/>
                <w:sz w:val="20"/>
                <w:szCs w:val="20"/>
                <w:lang w:val="ru-RU"/>
              </w:rPr>
              <w:t>)</w:t>
            </w:r>
          </w:p>
        </w:tc>
      </w:tr>
      <w:tr w:rsidR="006C6058" w:rsidRPr="008D410C" w14:paraId="2F73B407" w14:textId="77777777" w:rsidTr="008E5DA4">
        <w:tc>
          <w:tcPr>
            <w:tcW w:w="9060" w:type="dxa"/>
            <w:gridSpan w:val="2"/>
            <w:shd w:val="clear" w:color="auto" w:fill="auto"/>
          </w:tcPr>
          <w:p w14:paraId="1FEB7664" w14:textId="3E5E5044" w:rsidR="00AA5B70" w:rsidRPr="008D410C" w:rsidRDefault="00AA5B70" w:rsidP="00AA5B7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bg-BG"/>
              </w:rPr>
            </w:pPr>
            <w:r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Технически университет - София е най-големият технически университет в България, </w:t>
            </w:r>
            <w:r w:rsidR="00242668"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>който предлага</w:t>
            </w:r>
            <w:r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не само експертно инженерно образование, но</w:t>
            </w:r>
            <w:r w:rsidR="00242668"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важен приоритет от дейността му са и</w:t>
            </w:r>
            <w:r w:rsidR="00B87E72"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</w:t>
            </w:r>
            <w:r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>научните изследвания. В Технически университет - София има общо 17 факулте</w:t>
            </w:r>
            <w:r w:rsidR="00242668"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>та, от които един е</w:t>
            </w:r>
            <w:r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в град Пловдив и два в град Сливен. Освен традиционните бакалавърски, магистърски и докторски степени </w:t>
            </w:r>
            <w:r w:rsidR="00C87818"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>на</w:t>
            </w:r>
            <w:r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български език,</w:t>
            </w:r>
            <w:r w:rsidR="00242668"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в</w:t>
            </w:r>
            <w:r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Технически университет </w:t>
            </w:r>
            <w:r w:rsidR="00242668"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>–</w:t>
            </w:r>
            <w:r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София</w:t>
            </w:r>
            <w:r w:rsidR="00242668"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се предлага и обучение и в три чуждо</w:t>
            </w:r>
            <w:r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>езикови факултета.</w:t>
            </w:r>
          </w:p>
          <w:p w14:paraId="70CA5B0D" w14:textId="42FEF25C" w:rsidR="00AA5B70" w:rsidRPr="008D410C" w:rsidRDefault="00242668" w:rsidP="00AA5B7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bg-BG"/>
              </w:rPr>
            </w:pPr>
            <w:r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>В университета се извършват важни</w:t>
            </w:r>
            <w:r w:rsidR="00AA5B70"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теоретични и приложни изследвания</w:t>
            </w:r>
            <w:r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и се осъществява сътрудничество с индустрията. Това</w:t>
            </w:r>
            <w:r w:rsidR="00AA5B70"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</w:t>
            </w:r>
            <w:r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>създава разнообразни</w:t>
            </w:r>
            <w:r w:rsidR="00AA5B70"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възможности за работа на завършилите студенти</w:t>
            </w:r>
            <w:r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>, а също така спомага</w:t>
            </w:r>
            <w:r w:rsidR="00AA5B70"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за кариерно</w:t>
            </w:r>
            <w:r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>то</w:t>
            </w:r>
            <w:r w:rsidR="00AA5B70"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развитие на инженери</w:t>
            </w:r>
            <w:r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>те</w:t>
            </w:r>
            <w:r w:rsidR="00AA5B70"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и изследователи</w:t>
            </w:r>
            <w:r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>те</w:t>
            </w:r>
            <w:r w:rsidR="00AA5B70"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>.</w:t>
            </w:r>
          </w:p>
          <w:p w14:paraId="76B240FA" w14:textId="336B9446" w:rsidR="006C6058" w:rsidRPr="008D410C" w:rsidRDefault="006C6058" w:rsidP="008E5DA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sz w:val="20"/>
                <w:szCs w:val="20"/>
                <w:lang w:val="ru-RU"/>
              </w:rPr>
            </w:pPr>
          </w:p>
        </w:tc>
      </w:tr>
    </w:tbl>
    <w:p w14:paraId="04CE381A" w14:textId="77777777" w:rsidR="00083810" w:rsidRPr="003A46C9" w:rsidRDefault="00083810" w:rsidP="006C6058">
      <w:pPr>
        <w:rPr>
          <w:b/>
          <w:smallCaps/>
          <w:spacing w:val="5"/>
          <w:sz w:val="28"/>
          <w:szCs w:val="28"/>
          <w:lang w:val="ru-RU"/>
        </w:rPr>
      </w:pPr>
      <w:bookmarkStart w:id="12" w:name="_Toc428959135"/>
      <w:bookmarkStart w:id="13" w:name="_Toc430010049"/>
      <w:bookmarkStart w:id="14" w:name="_Toc439842255"/>
      <w:bookmarkStart w:id="15" w:name="_Toc439851275"/>
    </w:p>
    <w:p w14:paraId="764B02D3" w14:textId="6C6E581D" w:rsidR="00BA1A9E" w:rsidRPr="003A46C9" w:rsidRDefault="006C6058" w:rsidP="006C6058">
      <w:pPr>
        <w:rPr>
          <w:b/>
          <w:smallCaps/>
          <w:spacing w:val="5"/>
          <w:sz w:val="28"/>
          <w:szCs w:val="28"/>
          <w:lang w:val="ru-RU"/>
        </w:rPr>
      </w:pPr>
      <w:r w:rsidRPr="003A46C9">
        <w:rPr>
          <w:b/>
          <w:smallCaps/>
          <w:spacing w:val="5"/>
          <w:sz w:val="28"/>
          <w:szCs w:val="28"/>
          <w:lang w:val="ru-RU"/>
        </w:rPr>
        <w:t xml:space="preserve">2. </w:t>
      </w:r>
      <w:r w:rsidR="00B74EEF">
        <w:rPr>
          <w:b/>
          <w:smallCaps/>
          <w:spacing w:val="5"/>
          <w:sz w:val="28"/>
          <w:szCs w:val="28"/>
          <w:lang w:val="bg-BG"/>
        </w:rPr>
        <w:t>Силни и слаби страни на текущата практика</w:t>
      </w:r>
      <w:r w:rsidR="00F052B6" w:rsidRPr="003A46C9">
        <w:rPr>
          <w:b/>
          <w:smallCaps/>
          <w:spacing w:val="5"/>
          <w:sz w:val="28"/>
          <w:szCs w:val="28"/>
          <w:lang w:val="ru-RU"/>
        </w:rPr>
        <w:t>:</w:t>
      </w:r>
    </w:p>
    <w:bookmarkEnd w:id="12"/>
    <w:bookmarkEnd w:id="13"/>
    <w:bookmarkEnd w:id="14"/>
    <w:bookmarkEnd w:id="15"/>
    <w:p w14:paraId="617C641F" w14:textId="02D1CB52" w:rsidR="00411E78" w:rsidRPr="008D410C" w:rsidRDefault="00411E78" w:rsidP="006C6058">
      <w:pPr>
        <w:rPr>
          <w:sz w:val="20"/>
          <w:lang w:val="bg-BG"/>
        </w:rPr>
      </w:pPr>
      <w:r w:rsidRPr="008D410C">
        <w:rPr>
          <w:sz w:val="20"/>
          <w:lang w:val="bg-BG"/>
        </w:rPr>
        <w:t>Моля, представете обзор на силни</w:t>
      </w:r>
      <w:r w:rsidR="00837705" w:rsidRPr="008D410C">
        <w:rPr>
          <w:sz w:val="20"/>
          <w:lang w:val="bg-BG"/>
        </w:rPr>
        <w:t>те</w:t>
      </w:r>
      <w:r w:rsidRPr="008D410C">
        <w:rPr>
          <w:sz w:val="20"/>
          <w:lang w:val="bg-BG"/>
        </w:rPr>
        <w:t xml:space="preserve"> и слаби</w:t>
      </w:r>
      <w:r w:rsidR="00837705" w:rsidRPr="008D410C">
        <w:rPr>
          <w:sz w:val="20"/>
          <w:lang w:val="bg-BG"/>
        </w:rPr>
        <w:t>те</w:t>
      </w:r>
      <w:r w:rsidRPr="008D410C">
        <w:rPr>
          <w:sz w:val="20"/>
          <w:lang w:val="bg-BG"/>
        </w:rPr>
        <w:t xml:space="preserve"> страни</w:t>
      </w:r>
      <w:r w:rsidR="00837705" w:rsidRPr="008D410C">
        <w:rPr>
          <w:sz w:val="20"/>
          <w:lang w:val="bg-BG"/>
        </w:rPr>
        <w:t xml:space="preserve"> на настоящите политики и</w:t>
      </w:r>
      <w:r w:rsidRPr="008D410C">
        <w:rPr>
          <w:sz w:val="20"/>
          <w:lang w:val="bg-BG"/>
        </w:rPr>
        <w:t xml:space="preserve"> практика </w:t>
      </w:r>
      <w:r w:rsidR="00837705" w:rsidRPr="008D410C">
        <w:rPr>
          <w:sz w:val="20"/>
          <w:lang w:val="bg-BG"/>
        </w:rPr>
        <w:t>във</w:t>
      </w:r>
      <w:r w:rsidR="0031697C" w:rsidRPr="008D410C">
        <w:rPr>
          <w:sz w:val="20"/>
          <w:lang w:val="bg-BG"/>
        </w:rPr>
        <w:t xml:space="preserve"> организация</w:t>
      </w:r>
      <w:r w:rsidR="00837705" w:rsidRPr="008D410C">
        <w:rPr>
          <w:sz w:val="20"/>
          <w:lang w:val="bg-BG"/>
        </w:rPr>
        <w:t>та</w:t>
      </w:r>
      <w:r w:rsidR="0031697C" w:rsidRPr="008D410C">
        <w:rPr>
          <w:sz w:val="20"/>
          <w:lang w:val="bg-BG"/>
        </w:rPr>
        <w:t xml:space="preserve"> </w:t>
      </w:r>
      <w:r w:rsidR="00837705" w:rsidRPr="008D410C">
        <w:rPr>
          <w:sz w:val="20"/>
          <w:lang w:val="bg-BG"/>
        </w:rPr>
        <w:t xml:space="preserve">по отношение на </w:t>
      </w:r>
      <w:r w:rsidRPr="008D410C">
        <w:rPr>
          <w:sz w:val="20"/>
          <w:lang w:val="bg-BG"/>
        </w:rPr>
        <w:t xml:space="preserve">четирите тематични направления на Хартата и Кодекса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6614"/>
      </w:tblGrid>
      <w:tr w:rsidR="002C217D" w:rsidRPr="005D5D17" w14:paraId="2C616E74" w14:textId="77777777" w:rsidTr="00411E78">
        <w:trPr>
          <w:trHeight w:val="1421"/>
        </w:trPr>
        <w:tc>
          <w:tcPr>
            <w:tcW w:w="2448" w:type="dxa"/>
            <w:shd w:val="clear" w:color="auto" w:fill="auto"/>
          </w:tcPr>
          <w:p w14:paraId="5A5ACE1D" w14:textId="7A28A113" w:rsidR="002C217D" w:rsidRPr="008D410C" w:rsidRDefault="00411E78" w:rsidP="005D5D17">
            <w:pPr>
              <w:spacing w:after="0" w:line="240" w:lineRule="auto"/>
              <w:jc w:val="center"/>
              <w:rPr>
                <w:b/>
                <w:sz w:val="20"/>
                <w:szCs w:val="20"/>
                <w:lang w:val="bg-BG"/>
              </w:rPr>
            </w:pPr>
            <w:r w:rsidRPr="008D410C">
              <w:rPr>
                <w:b/>
                <w:sz w:val="20"/>
                <w:szCs w:val="20"/>
                <w:lang w:val="bg-BG"/>
              </w:rPr>
              <w:t>Тематични направления на Хартата и Кодекса</w:t>
            </w:r>
          </w:p>
        </w:tc>
        <w:tc>
          <w:tcPr>
            <w:tcW w:w="6614" w:type="dxa"/>
            <w:shd w:val="clear" w:color="auto" w:fill="auto"/>
          </w:tcPr>
          <w:p w14:paraId="68A2108A" w14:textId="3206772A" w:rsidR="002C217D" w:rsidRPr="008D410C" w:rsidRDefault="00411E78" w:rsidP="005D5D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410C">
              <w:rPr>
                <w:b/>
                <w:sz w:val="20"/>
                <w:szCs w:val="20"/>
                <w:lang w:val="bg-BG"/>
              </w:rPr>
              <w:t>СИЛНИ и СЛАБИ СТРАНИ</w:t>
            </w:r>
          </w:p>
        </w:tc>
      </w:tr>
      <w:tr w:rsidR="002C217D" w:rsidRPr="005D5D17" w14:paraId="1E4EB2AF" w14:textId="77777777" w:rsidTr="00411E78">
        <w:trPr>
          <w:trHeight w:val="1122"/>
        </w:trPr>
        <w:tc>
          <w:tcPr>
            <w:tcW w:w="2448" w:type="dxa"/>
            <w:shd w:val="clear" w:color="auto" w:fill="auto"/>
          </w:tcPr>
          <w:p w14:paraId="30D71655" w14:textId="546EB2D8" w:rsidR="002C217D" w:rsidRPr="008D410C" w:rsidRDefault="005D5D17" w:rsidP="005D5D17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 w:rsidRPr="008D410C">
              <w:rPr>
                <w:rFonts w:eastAsia="Times New Roman"/>
                <w:b/>
                <w:sz w:val="20"/>
                <w:szCs w:val="20"/>
                <w:lang w:val="bg-BG"/>
              </w:rPr>
              <w:t>Етични и професионални принципи</w:t>
            </w:r>
          </w:p>
        </w:tc>
        <w:tc>
          <w:tcPr>
            <w:tcW w:w="6614" w:type="dxa"/>
            <w:shd w:val="clear" w:color="auto" w:fill="auto"/>
          </w:tcPr>
          <w:p w14:paraId="0A2B2B64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bg-BG"/>
              </w:rPr>
            </w:pPr>
            <w:r w:rsidRPr="008D410C">
              <w:rPr>
                <w:rFonts w:asciiTheme="minorHAnsi" w:eastAsia="Times New Roman" w:hAnsiTheme="minorHAnsi" w:cstheme="minorHAnsi"/>
                <w:sz w:val="20"/>
                <w:szCs w:val="20"/>
                <w:lang w:val="bg-BG"/>
              </w:rPr>
              <w:t xml:space="preserve">Силните страни на ТУ-София по отношение на етичните и професионални принципи са свързани с факта, че университетът има свой Етичен кодекс на академичния състав и непреподавателския персонал, от 31 октомври 2012 г., публикуван на вътрешната страница </w:t>
            </w:r>
            <w:hyperlink r:id="rId7" w:history="1">
              <w:r w:rsidRPr="008D410C">
                <w:rPr>
                  <w:rFonts w:asciiTheme="minorHAnsi" w:hAnsiTheme="minorHAnsi" w:cstheme="minorHAnsi"/>
                  <w:sz w:val="20"/>
                  <w:szCs w:val="20"/>
                  <w:u w:val="single"/>
                  <w:lang w:val="bg-BG"/>
                </w:rPr>
                <w:t>https://tu-sofia.bg/kcfinder/upload/files/Etichen_kodeks_TU.pdf</w:t>
              </w:r>
            </w:hyperlink>
            <w:r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и достъпен за всички служители. Спазването на Етичния кодекс е вменено като задължение на всички работещи, като е разписано и в длъжностната им характеристика. Положително е и, че чл. 20 от този Етичен кодекс напълно съответства на изискванията на Хартата за извършване на висококачествени изследвания, основани на: доказателства и достоверно представяне на реалността; ефективност на изследванията; истинност на представените резултати; обективност на процеса на рецензиране; професионална отговорност и други. </w:t>
            </w:r>
          </w:p>
          <w:p w14:paraId="352C5480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bg-BG"/>
              </w:rPr>
            </w:pPr>
          </w:p>
          <w:p w14:paraId="00B27CAF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bg-BG"/>
              </w:rPr>
            </w:pPr>
            <w:r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>Основната слабост, която беше установена при направения Анализ за съответствие е, че в определени факултети не се спазват стриктно изискванията на Етичния кодекс, което поражда сериозни опасения относно реалното прилагане на практика на някои етични принципи в част от факултетите.</w:t>
            </w:r>
            <w:r w:rsidRPr="008D410C">
              <w:rPr>
                <w:rFonts w:eastAsia="Times New Roman"/>
                <w:sz w:val="20"/>
                <w:szCs w:val="20"/>
                <w:lang w:val="bg-BG"/>
              </w:rPr>
              <w:t xml:space="preserve"> </w:t>
            </w:r>
          </w:p>
          <w:p w14:paraId="5A65F24E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bg-BG"/>
              </w:rPr>
            </w:pPr>
          </w:p>
          <w:p w14:paraId="140D850A" w14:textId="78A1F42A" w:rsidR="00BC57EC" w:rsidRPr="008D410C" w:rsidRDefault="00BC57EC" w:rsidP="00BC57E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bg-BG"/>
              </w:rPr>
            </w:pPr>
            <w:r w:rsidRPr="008D410C">
              <w:rPr>
                <w:rFonts w:eastAsia="Times New Roman"/>
                <w:sz w:val="20"/>
                <w:szCs w:val="20"/>
                <w:lang w:val="bg-BG"/>
              </w:rPr>
              <w:t>Въпреки, че спазването на принципите за професионално отношение е изискване на националното законодателство (Закона за висшето образование от 27 декември 1997 г., последно изменен на 25 февруари 2020 г., чл. 56</w:t>
            </w:r>
            <w:r w:rsidR="00256F9B" w:rsidRPr="008D410C">
              <w:rPr>
                <w:rFonts w:eastAsia="Times New Roman"/>
                <w:sz w:val="20"/>
                <w:szCs w:val="20"/>
                <w:lang w:val="en-US"/>
              </w:rPr>
              <w:t>)</w:t>
            </w:r>
            <w:r w:rsidRPr="008D410C">
              <w:rPr>
                <w:rFonts w:eastAsia="Times New Roman"/>
                <w:sz w:val="20"/>
                <w:szCs w:val="20"/>
                <w:lang w:val="bg-BG"/>
              </w:rPr>
              <w:t xml:space="preserve">, както и от регламентите на международни, национални и вътрешни изследователски проекти, все още има случаи, когато отделни </w:t>
            </w:r>
            <w:r w:rsidRPr="008D410C">
              <w:rPr>
                <w:rFonts w:eastAsia="Times New Roman"/>
                <w:sz w:val="20"/>
                <w:szCs w:val="20"/>
                <w:lang w:val="bg-BG"/>
              </w:rPr>
              <w:lastRenderedPageBreak/>
              <w:t>изследователи не спазват съответната  професионална етика и изискванията за интегритет.</w:t>
            </w:r>
          </w:p>
          <w:p w14:paraId="65B58262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bg-BG"/>
              </w:rPr>
            </w:pPr>
          </w:p>
          <w:p w14:paraId="7F57DAD1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bg-BG"/>
              </w:rPr>
            </w:pPr>
            <w:r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Условията на работа на изследователите в университета се регулират от Националното законодателство и </w:t>
            </w:r>
            <w:r w:rsidRPr="008D410C">
              <w:rPr>
                <w:rFonts w:asciiTheme="minorHAnsi" w:eastAsia="Times New Roman" w:hAnsiTheme="minorHAnsi" w:cstheme="minorHAnsi"/>
                <w:sz w:val="20"/>
                <w:szCs w:val="20"/>
                <w:lang w:val="bg-BG"/>
              </w:rPr>
              <w:t xml:space="preserve">Правилник за устройството и дейността на Технически университет – София от 1996, последно изменен през 2019 </w:t>
            </w:r>
            <w:r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>и се спазват стриктно от всички участващи страни (работодател и служител).</w:t>
            </w:r>
            <w:r w:rsidRPr="008D410C">
              <w:rPr>
                <w:rFonts w:asciiTheme="minorHAnsi" w:eastAsia="Times New Roman" w:hAnsiTheme="minorHAnsi" w:cstheme="minorHAnsi"/>
                <w:sz w:val="20"/>
                <w:szCs w:val="20"/>
                <w:lang w:val="bg-BG"/>
              </w:rPr>
              <w:t xml:space="preserve"> </w:t>
            </w:r>
            <w:r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>В своята работа изследователите като цяло спазват признатите етични принципи и практики. Въпреки това, съществуват някои ограничения по отношение на научната свобода, произтичащи от съществуващите правни разпоредби и бюджетни ограничения. Настоящите стандарти и правила във Висшето образование (ВО) ограничават работното време на служителите на Висшите учебни заведения като то е разпределено: 30% от работното си време за изследвания и 70% за преподаване и други административни дейности. От друга страна, изискванията за развитие на академична кариера поставят акцент върху изследванията и постигнатите научни резултати, публикувани в реферирани и индексирани научни издания или патентовани. Това води до дисбаланс между преподавателската и изследователската дейност и поставя редица предизвикателства пред изследователите, от които се очаква да дадат реални приложни резултати от научните си изследвания, а същевременно често редица изследователи не разполагат с достатъчно време и необходимото финансиране за научноизследователска дейност.</w:t>
            </w:r>
          </w:p>
          <w:p w14:paraId="68726F5F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bg-BG"/>
              </w:rPr>
            </w:pPr>
          </w:p>
          <w:p w14:paraId="09277BA3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bg-BG"/>
              </w:rPr>
            </w:pPr>
            <w:r w:rsidRPr="008D410C">
              <w:rPr>
                <w:rFonts w:asciiTheme="minorHAnsi" w:eastAsia="Times New Roman" w:hAnsiTheme="minorHAnsi" w:cstheme="minorHAnsi"/>
                <w:sz w:val="20"/>
                <w:szCs w:val="20"/>
                <w:lang w:val="bg-BG"/>
              </w:rPr>
              <w:t xml:space="preserve">Университетът има новопостроена библиотека </w:t>
            </w:r>
            <w:r w:rsidRPr="008D410C"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lang w:val="bg-BG"/>
              </w:rPr>
              <w:t>https://library.tu-sofia.bg</w:t>
            </w:r>
            <w:r w:rsidRPr="008D410C">
              <w:rPr>
                <w:rFonts w:asciiTheme="minorHAnsi" w:eastAsia="Times New Roman" w:hAnsiTheme="minorHAnsi" w:cstheme="minorHAnsi"/>
                <w:sz w:val="20"/>
                <w:szCs w:val="20"/>
                <w:lang w:val="bg-BG"/>
              </w:rPr>
              <w:t xml:space="preserve"> и работи постоянно за увеличаване на съществуващия достъп до голямо разнообразие от бази данни, включително IEEE и др. В момента изследователите имат свободен достъп до EBSCO; Science Direct; Springer; Taylor&amp;Francis; Колекция eLearning на Emerald Engineering; Колекции Scopus и Web of Science.</w:t>
            </w:r>
          </w:p>
          <w:p w14:paraId="4ABED3D0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bg-BG"/>
              </w:rPr>
            </w:pPr>
          </w:p>
          <w:p w14:paraId="15D0A3DD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bg-BG"/>
              </w:rPr>
            </w:pPr>
            <w:r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>При изпълнение на</w:t>
            </w:r>
            <w:r w:rsidRPr="008D410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>научните проекти, финансирани от национални и международни програми основния проблем са ограниченията на Закона за обществените поръчки (ЗОП). Цялата идеология на закона не отчита спецификата на научноизследователските организации (в т.ч. и висшите училища), изискваща закупуване в кратки срокове на специфична специализирана апаратура, софтуер, елементна база и др. Тези доставки не могат да се реализират в рамките на общите постановки на ЗОП. Следователно е необходимо в текстовете му да се разработи самостоятелен раздел, отчитащ споменатите специфични особености, за да може научната дейност да не бъде ограничавана и проектите да се изпълняват в срок.</w:t>
            </w:r>
          </w:p>
          <w:p w14:paraId="002B0BD6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bg-BG"/>
              </w:rPr>
            </w:pPr>
          </w:p>
          <w:p w14:paraId="0E71CD36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bg-BG"/>
              </w:rPr>
            </w:pPr>
            <w:r w:rsidRPr="008D410C">
              <w:rPr>
                <w:rFonts w:eastAsia="Times New Roman"/>
                <w:sz w:val="20"/>
                <w:szCs w:val="20"/>
                <w:lang w:val="bg-BG"/>
              </w:rPr>
              <w:t>Случаите на нарушаване на професионалната отговорност са редки и се санкционират от националното законодателство и вътрешните правила. В повечето случаи прилаганите научни методи са подложени на строги стандарти в съответната област.</w:t>
            </w:r>
          </w:p>
          <w:p w14:paraId="3EDA5A80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bg-BG"/>
              </w:rPr>
            </w:pPr>
          </w:p>
          <w:p w14:paraId="59CEA617" w14:textId="77777777" w:rsidR="00BC57EC" w:rsidRPr="008D410C" w:rsidRDefault="00BC57EC" w:rsidP="00BC57EC">
            <w:pPr>
              <w:spacing w:after="0" w:line="240" w:lineRule="auto"/>
              <w:jc w:val="both"/>
              <w:rPr>
                <w:sz w:val="20"/>
                <w:szCs w:val="20"/>
                <w:lang w:val="bg-BG"/>
              </w:rPr>
            </w:pPr>
            <w:r w:rsidRPr="008D410C">
              <w:rPr>
                <w:sz w:val="20"/>
                <w:szCs w:val="20"/>
                <w:lang w:val="bg-BG"/>
              </w:rPr>
              <w:t>Университетът все още не разполага с достъп до софтуер за плагиатство. Освен това все още част от по-младите изследователи не са добре запознати с правилата за интегритет и коректно цитиране и е необходимо да се организира специално обучение.</w:t>
            </w:r>
          </w:p>
          <w:p w14:paraId="4C77784B" w14:textId="52EDF0F7" w:rsidR="002C217D" w:rsidRPr="008D410C" w:rsidRDefault="002C217D" w:rsidP="00BC57E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217D" w:rsidRPr="005D5D17" w14:paraId="42EB7B5F" w14:textId="77777777" w:rsidTr="00411E78">
        <w:trPr>
          <w:trHeight w:val="1017"/>
        </w:trPr>
        <w:tc>
          <w:tcPr>
            <w:tcW w:w="2448" w:type="dxa"/>
            <w:shd w:val="clear" w:color="auto" w:fill="auto"/>
          </w:tcPr>
          <w:p w14:paraId="4C29AA75" w14:textId="65B88037" w:rsidR="002C217D" w:rsidRPr="008D410C" w:rsidRDefault="005D5D17" w:rsidP="005D5D1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D410C">
              <w:rPr>
                <w:rFonts w:asciiTheme="minorHAnsi" w:hAnsiTheme="minorHAnsi" w:cstheme="minorHAnsi"/>
                <w:b/>
                <w:sz w:val="20"/>
                <w:szCs w:val="20"/>
                <w:lang w:val="bg-BG"/>
              </w:rPr>
              <w:lastRenderedPageBreak/>
              <w:t>Набиране и подбор на персонала</w:t>
            </w:r>
          </w:p>
        </w:tc>
        <w:tc>
          <w:tcPr>
            <w:tcW w:w="6614" w:type="dxa"/>
            <w:shd w:val="clear" w:color="auto" w:fill="auto"/>
          </w:tcPr>
          <w:p w14:paraId="64790E7A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bg-BG"/>
              </w:rPr>
            </w:pPr>
            <w:r w:rsidRPr="008D410C">
              <w:rPr>
                <w:rFonts w:asciiTheme="minorHAnsi" w:eastAsia="Times New Roman" w:hAnsiTheme="minorHAnsi" w:cstheme="minorHAnsi"/>
                <w:sz w:val="20"/>
                <w:szCs w:val="20"/>
                <w:lang w:val="bg-BG"/>
              </w:rPr>
              <w:t xml:space="preserve">Процедурите за набиране и подбор на персонал са изрично определени от националното законодателство и се спазват стриктно. </w:t>
            </w:r>
          </w:p>
          <w:p w14:paraId="132D3A7C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bg-BG"/>
              </w:rPr>
            </w:pPr>
          </w:p>
          <w:p w14:paraId="49296A8F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bg-BG"/>
              </w:rPr>
            </w:pPr>
            <w:r w:rsidRPr="008D410C">
              <w:rPr>
                <w:rFonts w:asciiTheme="minorHAnsi" w:eastAsia="Times New Roman" w:hAnsiTheme="minorHAnsi" w:cstheme="minorHAnsi"/>
                <w:sz w:val="20"/>
                <w:szCs w:val="20"/>
                <w:lang w:val="bg-BG"/>
              </w:rPr>
              <w:lastRenderedPageBreak/>
              <w:t>Според изискванията на Закона за развитие на академичния състав в Република България специфичните условия за заемане на конкретни академични длъжности се разглеждат от вътрешните разпоредби на университета. В случая това са Правилник за устройството и дейността на ТУ-София и Правилник за условията и реда за заемане на академични длъжности в ТУ-София.</w:t>
            </w:r>
          </w:p>
          <w:p w14:paraId="54E9BCAD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bg-BG"/>
              </w:rPr>
            </w:pPr>
          </w:p>
          <w:p w14:paraId="25F812B0" w14:textId="3027FEA1" w:rsidR="00BC57EC" w:rsidRPr="008D410C" w:rsidRDefault="00BC57EC" w:rsidP="00BC57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bg-BG"/>
              </w:rPr>
            </w:pPr>
            <w:r w:rsidRPr="008D410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bg-BG"/>
              </w:rPr>
              <w:t>Законодателството урежда единно и изрично всички процедури за заемане за академичните длъжности главен асистент, доцент</w:t>
            </w:r>
            <w:r w:rsidR="00B32764" w:rsidRPr="008D410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bg-BG"/>
              </w:rPr>
              <w:t xml:space="preserve"> и професор</w:t>
            </w:r>
            <w:r w:rsidRPr="008D410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bg-BG"/>
              </w:rPr>
              <w:t>. Въпреки това, като основен недостатък може да се изтъкне фактът, че все още процедурата за назначаване на най-ниската академична длъжност – асистент – прилага общите правила на Кодекса на труда. В резултат на това, в някои случаи прилаганите критерии за оценка не дават достатъчно яснота на потенциалните кандидати.</w:t>
            </w:r>
          </w:p>
          <w:p w14:paraId="38F1BB9C" w14:textId="77777777" w:rsidR="00BC57EC" w:rsidRPr="008D410C" w:rsidRDefault="00BC57EC" w:rsidP="00BC57EC">
            <w:pPr>
              <w:spacing w:after="0" w:line="240" w:lineRule="auto"/>
              <w:contextualSpacing/>
              <w:jc w:val="both"/>
              <w:rPr>
                <w:rFonts w:asciiTheme="minorHAnsi" w:eastAsia="TimesNewRoman" w:hAnsiTheme="minorHAnsi" w:cstheme="minorHAnsi"/>
                <w:sz w:val="20"/>
                <w:szCs w:val="20"/>
                <w:lang w:val="bg-BG"/>
              </w:rPr>
            </w:pPr>
          </w:p>
          <w:p w14:paraId="2CB72910" w14:textId="77777777" w:rsidR="00BC57EC" w:rsidRPr="008D410C" w:rsidRDefault="00BC57EC" w:rsidP="00BC57EC">
            <w:pPr>
              <w:spacing w:after="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bg-BG"/>
              </w:rPr>
            </w:pPr>
            <w:r w:rsidRPr="008D410C">
              <w:rPr>
                <w:rFonts w:asciiTheme="minorHAnsi" w:eastAsia="TimesNewRoman" w:hAnsiTheme="minorHAnsi" w:cstheme="minorHAnsi"/>
                <w:sz w:val="20"/>
                <w:szCs w:val="20"/>
                <w:lang w:val="bg-BG"/>
              </w:rPr>
              <w:t>Положителното е, че кандидатите за работа са информирани преди избора относно процеса на подбор и критериите за избор</w:t>
            </w:r>
            <w:r w:rsidRPr="008D410C">
              <w:rPr>
                <w:rFonts w:asciiTheme="minorHAnsi" w:eastAsia="TimesNewRoman,Bold" w:hAnsiTheme="minorHAnsi" w:cstheme="minorHAnsi"/>
                <w:sz w:val="20"/>
                <w:szCs w:val="20"/>
                <w:lang w:val="bg-BG"/>
              </w:rPr>
              <w:t xml:space="preserve">, </w:t>
            </w:r>
            <w:r w:rsidRPr="008D410C">
              <w:rPr>
                <w:rFonts w:asciiTheme="minorHAnsi" w:eastAsia="TimesNewRoman" w:hAnsiTheme="minorHAnsi" w:cstheme="minorHAnsi"/>
                <w:sz w:val="20"/>
                <w:szCs w:val="20"/>
                <w:lang w:val="bg-BG"/>
              </w:rPr>
              <w:t>броя на свободните места. Като слабост, може да се отбележи, че</w:t>
            </w:r>
            <w:r w:rsidRPr="008D410C">
              <w:rPr>
                <w:rFonts w:asciiTheme="minorHAnsi" w:eastAsia="Times New Roman" w:hAnsiTheme="minorHAnsi" w:cstheme="minorHAnsi"/>
                <w:sz w:val="20"/>
                <w:szCs w:val="20"/>
                <w:lang w:val="bg-BG"/>
              </w:rPr>
              <w:t xml:space="preserve"> все още има случаи, когато кандидатите не са информирани относно перспективите за кариерно развитие, за силните и слабите страни на кандидатурите им.</w:t>
            </w:r>
          </w:p>
          <w:p w14:paraId="09AF190B" w14:textId="77777777" w:rsidR="00BC57EC" w:rsidRPr="008D410C" w:rsidRDefault="00BC57EC" w:rsidP="00BC57EC">
            <w:pPr>
              <w:spacing w:after="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bg-BG"/>
              </w:rPr>
            </w:pPr>
          </w:p>
          <w:p w14:paraId="1D606063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bg-BG"/>
              </w:rPr>
            </w:pPr>
            <w:r w:rsidRPr="008D410C">
              <w:rPr>
                <w:rFonts w:asciiTheme="minorHAnsi" w:eastAsia="Times New Roman" w:hAnsiTheme="minorHAnsi" w:cstheme="minorHAnsi"/>
                <w:sz w:val="20"/>
                <w:szCs w:val="20"/>
                <w:lang w:val="bg-BG"/>
              </w:rPr>
              <w:t>Друг положителен момент по отношение на набирането и подбора на персонала е, че в повечето случай стремежът е</w:t>
            </w:r>
            <w:r w:rsidRPr="008D410C">
              <w:rPr>
                <w:rFonts w:asciiTheme="minorHAnsi" w:eastAsia="TimesNewRoman" w:hAnsiTheme="minorHAnsi" w:cstheme="minorHAnsi"/>
                <w:sz w:val="20"/>
                <w:szCs w:val="20"/>
                <w:lang w:val="bg-BG"/>
              </w:rPr>
              <w:t xml:space="preserve"> да се отчете цялостния опит</w:t>
            </w:r>
            <w:r w:rsidRPr="008D410C">
              <w:rPr>
                <w:rFonts w:asciiTheme="minorHAnsi" w:eastAsia="TimesNewRoman,Bold" w:hAnsiTheme="minorHAnsi" w:cstheme="minorHAnsi"/>
                <w:sz w:val="20"/>
                <w:szCs w:val="20"/>
                <w:lang w:val="bg-BG"/>
              </w:rPr>
              <w:t xml:space="preserve"> </w:t>
            </w:r>
            <w:r w:rsidRPr="008D410C">
              <w:rPr>
                <w:rFonts w:asciiTheme="minorHAnsi" w:eastAsia="TimesNewRoman" w:hAnsiTheme="minorHAnsi" w:cstheme="minorHAnsi"/>
                <w:sz w:val="20"/>
                <w:szCs w:val="20"/>
                <w:lang w:val="bg-BG"/>
              </w:rPr>
              <w:t>на кандидатите</w:t>
            </w:r>
            <w:r w:rsidRPr="008D410C">
              <w:rPr>
                <w:rFonts w:asciiTheme="minorHAnsi" w:eastAsia="TimesNewRoman,Bold" w:hAnsiTheme="minorHAnsi" w:cstheme="minorHAnsi"/>
                <w:sz w:val="20"/>
                <w:szCs w:val="20"/>
                <w:lang w:val="bg-BG"/>
              </w:rPr>
              <w:t xml:space="preserve"> к</w:t>
            </w:r>
            <w:r w:rsidRPr="008D410C">
              <w:rPr>
                <w:rFonts w:asciiTheme="minorHAnsi" w:eastAsia="TimesNewRoman" w:hAnsiTheme="minorHAnsi" w:cstheme="minorHAnsi"/>
                <w:sz w:val="20"/>
                <w:szCs w:val="20"/>
                <w:lang w:val="bg-BG"/>
              </w:rPr>
              <w:t>ато се вземе под внимание пълния им потенциал като учени</w:t>
            </w:r>
            <w:r w:rsidRPr="008D410C">
              <w:rPr>
                <w:rFonts w:asciiTheme="minorHAnsi" w:eastAsia="TimesNewRoman,Bold" w:hAnsiTheme="minorHAnsi" w:cstheme="minorHAnsi"/>
                <w:sz w:val="20"/>
                <w:szCs w:val="20"/>
                <w:lang w:val="bg-BG"/>
              </w:rPr>
              <w:t xml:space="preserve">. Като основна слабост по отношение на тези процедури може да се отбележи, че </w:t>
            </w:r>
            <w:r w:rsidRPr="008D410C">
              <w:rPr>
                <w:rFonts w:asciiTheme="minorHAnsi" w:eastAsia="Times New Roman" w:hAnsiTheme="minorHAnsi" w:cstheme="minorHAnsi"/>
                <w:sz w:val="20"/>
                <w:szCs w:val="20"/>
                <w:lang w:val="bg-BG"/>
              </w:rPr>
              <w:t>все още критериите за оценка са по-скоро на база количествени резултати, а не качество на научната работа. Отчитането на изследователския опит, доказателствата за изобретателност и равнището на самостоятелност често пъти се пренебрегва.</w:t>
            </w:r>
          </w:p>
          <w:p w14:paraId="155E81F2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asciiTheme="minorHAnsi" w:eastAsia="TimesNewRoman,Bold" w:hAnsiTheme="minorHAnsi" w:cstheme="minorHAnsi"/>
                <w:sz w:val="20"/>
                <w:szCs w:val="20"/>
                <w:lang w:val="bg-BG"/>
              </w:rPr>
            </w:pPr>
          </w:p>
          <w:p w14:paraId="65ABDB6E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asciiTheme="minorHAnsi" w:eastAsia="TimesNewRoman,Bold" w:hAnsiTheme="minorHAnsi" w:cstheme="minorHAnsi"/>
                <w:sz w:val="20"/>
                <w:szCs w:val="20"/>
                <w:lang w:val="bg-BG"/>
              </w:rPr>
            </w:pPr>
            <w:r w:rsidRPr="008D410C">
              <w:rPr>
                <w:rFonts w:asciiTheme="minorHAnsi" w:eastAsia="TimesNewRoman,Bold" w:hAnsiTheme="minorHAnsi" w:cstheme="minorHAnsi"/>
                <w:sz w:val="20"/>
                <w:szCs w:val="20"/>
                <w:lang w:val="bg-BG"/>
              </w:rPr>
              <w:t>Друга основна слабост, която следва да се отчете е, че напълно се пренебрегва</w:t>
            </w:r>
            <w:r w:rsidRPr="008D410C">
              <w:rPr>
                <w:rFonts w:asciiTheme="minorHAnsi" w:eastAsia="Times New Roman" w:hAnsiTheme="minorHAnsi" w:cstheme="minorHAnsi"/>
                <w:sz w:val="20"/>
                <w:szCs w:val="20"/>
                <w:lang w:val="bg-BG"/>
              </w:rPr>
              <w:t xml:space="preserve"> мобилността, във всичките и разновидности, като фактор от значение за кариерното развитие и понастоящем се пренебрегва от процедурите за набиране на персонал. Все още на места има дори опити за обезкуражаване на академичната мобилност поради страх от  изтичане на мозъци.</w:t>
            </w:r>
          </w:p>
          <w:p w14:paraId="0D0E05D9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asciiTheme="minorHAnsi" w:eastAsia="TimesNewRoman,Bold" w:hAnsiTheme="minorHAnsi" w:cstheme="minorHAnsi"/>
                <w:sz w:val="20"/>
                <w:szCs w:val="20"/>
                <w:lang w:val="bg-BG"/>
              </w:rPr>
            </w:pPr>
          </w:p>
          <w:p w14:paraId="6E03051C" w14:textId="77777777" w:rsidR="00BC57EC" w:rsidRPr="008D410C" w:rsidRDefault="00BC57EC" w:rsidP="00BC57E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bg-BG"/>
              </w:rPr>
            </w:pPr>
            <w:r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Съгласно нормативната уредба </w:t>
            </w:r>
            <w:r w:rsidRPr="008D410C">
              <w:rPr>
                <w:sz w:val="20"/>
                <w:szCs w:val="20"/>
                <w:lang w:val="bg-BG" w:eastAsia="en-GB"/>
              </w:rPr>
              <w:t xml:space="preserve">обявите за работа се публикуват </w:t>
            </w:r>
            <w:r w:rsidRPr="008D410C">
              <w:rPr>
                <w:color w:val="000000" w:themeColor="text1"/>
                <w:sz w:val="20"/>
                <w:szCs w:val="20"/>
                <w:lang w:val="bg-BG" w:eastAsia="en-GB"/>
              </w:rPr>
              <w:t xml:space="preserve">във вестник </w:t>
            </w:r>
            <w:r w:rsidRPr="008D410C">
              <w:rPr>
                <w:sz w:val="20"/>
                <w:szCs w:val="20"/>
                <w:lang w:val="bg-BG" w:eastAsia="en-GB"/>
              </w:rPr>
              <w:t>„Държавен вестник“ и на страницата на ТУ-София</w:t>
            </w:r>
            <w:r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(</w:t>
            </w:r>
            <w:hyperlink r:id="rId8" w:history="1">
              <w:r w:rsidRPr="008D410C">
                <w:rPr>
                  <w:rFonts w:asciiTheme="minorHAnsi" w:hAnsiTheme="minorHAnsi" w:cstheme="minorHAnsi"/>
                  <w:color w:val="0563C1" w:themeColor="hyperlink"/>
                  <w:sz w:val="20"/>
                  <w:szCs w:val="20"/>
                  <w:u w:val="single"/>
                  <w:lang w:val="bg-BG"/>
                </w:rPr>
                <w:t>https://tu-sofia.bg</w:t>
              </w:r>
            </w:hyperlink>
            <w:r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),  само на български език, със срок за подаване на документи най-малко 30 дни и 60 дни за академични длъжности. Обявите за свободни работни места съдържат описание на необходимите знания и умения, включително специфични изисквания за конкретната длъжност. </w:t>
            </w:r>
          </w:p>
          <w:p w14:paraId="04E7F49E" w14:textId="77777777" w:rsidR="00BC57EC" w:rsidRPr="008D410C" w:rsidRDefault="00BC57EC" w:rsidP="00BC57E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bg-BG"/>
              </w:rPr>
            </w:pPr>
          </w:p>
          <w:p w14:paraId="51A0052C" w14:textId="77777777" w:rsidR="00BC57EC" w:rsidRPr="008D410C" w:rsidRDefault="00BC57EC" w:rsidP="00BC57E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bg-BG"/>
              </w:rPr>
            </w:pPr>
            <w:r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След приключване на процедурата за подбор, кандидатите се информират за резултатите. В ТУ-София няма възприета практика кандидатите да се информират за силните и слабите страни на техните кандидатури. Трябва да се отбележи, че ТУ-София е член на  EURAXESS от 2012 г., което положително. Като основна слабост следва да се отчете, че на този етап не се използват напълно възможностите, които предлага мрежата EURAXESS. Необходимо е  се помисли за инвестиране на повече време и ресурси, за да се подпомогнат дейностите на екипа на EURAXESS в ТУ-София по разпространяване на информация за свободни позиции и научноизследователски дейности в мрежата. </w:t>
            </w:r>
          </w:p>
          <w:p w14:paraId="02F35689" w14:textId="77777777" w:rsidR="00BC57EC" w:rsidRPr="008D410C" w:rsidRDefault="00BC57EC" w:rsidP="00BC57E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bg-BG"/>
              </w:rPr>
            </w:pPr>
          </w:p>
          <w:p w14:paraId="4C4B6850" w14:textId="77777777" w:rsidR="00BC57EC" w:rsidRPr="008D410C" w:rsidRDefault="00BC57EC" w:rsidP="00BC57E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bg-BG"/>
              </w:rPr>
            </w:pPr>
            <w:r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Въпреки, че опитът в мобилност на преподаватели и служители е широко популяризиран и служителите на ТУ-София участват в програми за обмен, </w:t>
            </w:r>
            <w:r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lastRenderedPageBreak/>
              <w:t xml:space="preserve">няма критерии, които да включват опита от проведена мобилност като ценен принос в професионалното развитие на изследователя. </w:t>
            </w:r>
          </w:p>
          <w:p w14:paraId="03ED94CB" w14:textId="77777777" w:rsidR="00BC57EC" w:rsidRPr="008D410C" w:rsidRDefault="00BC57EC" w:rsidP="00BC57E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bg-BG"/>
              </w:rPr>
            </w:pPr>
          </w:p>
          <w:p w14:paraId="4C71DE0D" w14:textId="77777777" w:rsidR="00BC57EC" w:rsidRPr="008D410C" w:rsidRDefault="00BC57EC" w:rsidP="00BC57E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bg-BG"/>
              </w:rPr>
            </w:pPr>
            <w:r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Допълнителна слабост е липсата на политика и нормативна уредба за насърчаване и признаване на участие в програми за професионално развитие и квалификация. </w:t>
            </w:r>
          </w:p>
          <w:p w14:paraId="5BF0E0C3" w14:textId="77777777" w:rsidR="002C217D" w:rsidRPr="008D410C" w:rsidRDefault="002C217D" w:rsidP="00BC57E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217D" w:rsidRPr="005D5D17" w14:paraId="7B52878D" w14:textId="77777777" w:rsidTr="00411E78">
        <w:trPr>
          <w:trHeight w:val="1002"/>
        </w:trPr>
        <w:tc>
          <w:tcPr>
            <w:tcW w:w="2448" w:type="dxa"/>
            <w:shd w:val="clear" w:color="auto" w:fill="auto"/>
          </w:tcPr>
          <w:p w14:paraId="5EE8BFE1" w14:textId="320DE48E" w:rsidR="002C217D" w:rsidRPr="008D410C" w:rsidRDefault="005D5D17" w:rsidP="005D5D17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 w:rsidRPr="008D410C">
              <w:rPr>
                <w:rFonts w:asciiTheme="minorHAnsi" w:hAnsiTheme="minorHAnsi" w:cstheme="minorHAnsi"/>
                <w:b/>
                <w:sz w:val="20"/>
                <w:szCs w:val="20"/>
                <w:lang w:val="bg-BG"/>
              </w:rPr>
              <w:lastRenderedPageBreak/>
              <w:t>Условия на труд</w:t>
            </w:r>
          </w:p>
        </w:tc>
        <w:tc>
          <w:tcPr>
            <w:tcW w:w="6614" w:type="dxa"/>
            <w:shd w:val="clear" w:color="auto" w:fill="auto"/>
          </w:tcPr>
          <w:p w14:paraId="38AA5787" w14:textId="77777777" w:rsidR="00BC57EC" w:rsidRPr="008D410C" w:rsidRDefault="00BC57EC" w:rsidP="00BC57E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bg-BG"/>
              </w:rPr>
            </w:pPr>
            <w:r w:rsidRPr="008D410C">
              <w:rPr>
                <w:rFonts w:asciiTheme="minorHAnsi" w:eastAsia="TimesNewRoman" w:hAnsiTheme="minorHAnsi" w:cstheme="minorHAnsi"/>
                <w:sz w:val="20"/>
                <w:szCs w:val="20"/>
                <w:lang w:val="bg-BG"/>
              </w:rPr>
              <w:t>Всички изследователи, на всеки етап от кариерното им развитие получават професионално признание и с тях се отнасят като с професионалисти. Изследователите в ТУ-София работят на не- нормиран работен ден, като в повечето случай имат възможност да ползват</w:t>
            </w:r>
            <w:r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гъвкаво работно време, в зависимост от специфичните си потребности. Наред с това изследователите имат право да упражняват външна, временна изследователска дейност, както и да ползват платен или неплатен отпуск, както и творчески такъв. </w:t>
            </w:r>
          </w:p>
          <w:p w14:paraId="79ECA9CF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asciiTheme="minorHAnsi" w:eastAsia="TimesNewRoman" w:hAnsiTheme="minorHAnsi" w:cstheme="minorHAnsi"/>
                <w:sz w:val="20"/>
                <w:szCs w:val="20"/>
                <w:lang w:val="bg-BG"/>
              </w:rPr>
            </w:pPr>
          </w:p>
          <w:p w14:paraId="073B6D41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bg-BG"/>
              </w:rPr>
            </w:pPr>
            <w:r w:rsidRPr="008D410C">
              <w:rPr>
                <w:rFonts w:eastAsia="Times New Roman"/>
                <w:sz w:val="20"/>
                <w:szCs w:val="20"/>
                <w:lang w:val="bg-BG"/>
              </w:rPr>
              <w:t xml:space="preserve">Съгласно Закон за висшето образование от 27 декември 1996 г.,  изменен последно на 25 февруари 2020 г., с изключение на асистентите, всички изследователи се назначават на постоянни трудови договори. Възприетите срочни договори на асистентите целят да насърчат младите учени да завършат своята докторантура в рамките на не повече от 5 години. </w:t>
            </w:r>
            <w:r w:rsidRPr="008D410C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>Възнагражденията, социално-осигурителните и пенсионните осигуровки са гарантирани на всички заети изследователи във всички етапи от кариерното им развитие. В рамките на своите дейности за предоставяне на услуги за кариерно развитие на изследователи, в момента ТУ-София изпълнява договор, съгласно националната стратегия за млади изследователи, насочен към повишаване на мотивацията им и насърчаване на научноизследователската им работа в началото на тяхната кариерата.</w:t>
            </w:r>
          </w:p>
          <w:p w14:paraId="0DDAFE41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bg-BG"/>
              </w:rPr>
            </w:pPr>
          </w:p>
          <w:p w14:paraId="2558BA76" w14:textId="77777777" w:rsidR="00BC57EC" w:rsidRPr="008D410C" w:rsidRDefault="00BC57EC" w:rsidP="00BC57EC">
            <w:pPr>
              <w:pStyle w:val="CommentText"/>
              <w:spacing w:after="120" w:line="240" w:lineRule="auto"/>
              <w:rPr>
                <w:lang w:val="bg-BG"/>
              </w:rPr>
            </w:pPr>
            <w:r w:rsidRPr="008D410C">
              <w:rPr>
                <w:rFonts w:eastAsia="Times New Roman"/>
                <w:lang w:val="bg-BG"/>
              </w:rPr>
              <w:t>Изследователите в начален етап на своето кариерно развитие обикновено получават съвети и напътствия относно кариерното им развитие от своите научни ръководители или от изследователите на по-горен етап в своята научна кариера в своите факултети и катедри. Докторантите могат да получат консултации относно своето кариерно развитие и в канцеларията, която обслужва докторанти. В университета има представител на мрежата EURAXESS и</w:t>
            </w:r>
            <w:r w:rsidRPr="008D410C">
              <w:rPr>
                <w:lang w:val="bg-BG"/>
              </w:rPr>
              <w:t xml:space="preserve"> регулярно </w:t>
            </w:r>
            <w:r w:rsidRPr="008D410C">
              <w:rPr>
                <w:rFonts w:eastAsia="Times New Roman"/>
                <w:lang w:val="bg-BG"/>
              </w:rPr>
              <w:t>се  организират информационни дни и обучения за кариерно развитие.</w:t>
            </w:r>
          </w:p>
          <w:p w14:paraId="57F61935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bg-BG"/>
              </w:rPr>
            </w:pPr>
          </w:p>
          <w:p w14:paraId="1731E604" w14:textId="46C10D10" w:rsidR="00BC57EC" w:rsidRPr="008D410C" w:rsidRDefault="00B32764" w:rsidP="00BC57E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bg-BG"/>
              </w:rPr>
            </w:pPr>
            <w:r w:rsidRPr="008D410C">
              <w:rPr>
                <w:rFonts w:eastAsia="Times New Roman"/>
                <w:sz w:val="20"/>
                <w:szCs w:val="20"/>
                <w:lang w:val="bg-BG"/>
              </w:rPr>
              <w:t>Като слабост може да се отбележи, че</w:t>
            </w:r>
            <w:r w:rsidR="00BC57EC" w:rsidRPr="008D410C">
              <w:rPr>
                <w:rFonts w:eastAsia="Times New Roman"/>
                <w:sz w:val="20"/>
                <w:szCs w:val="20"/>
                <w:lang w:val="bg-BG"/>
              </w:rPr>
              <w:t xml:space="preserve"> няма приета позиция пост-докторант</w:t>
            </w:r>
            <w:r w:rsidRPr="008D410C">
              <w:rPr>
                <w:rFonts w:eastAsia="Times New Roman"/>
                <w:sz w:val="20"/>
                <w:szCs w:val="20"/>
                <w:lang w:val="bg-BG"/>
              </w:rPr>
              <w:t xml:space="preserve"> като част от кариерното развитие и </w:t>
            </w:r>
            <w:r w:rsidR="009B43ED" w:rsidRPr="008D410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bg-BG"/>
              </w:rPr>
              <w:t xml:space="preserve">преминаването през </w:t>
            </w:r>
            <w:r w:rsidR="009B43ED" w:rsidRPr="008D410C">
              <w:rPr>
                <w:rFonts w:eastAsia="Times New Roman"/>
                <w:sz w:val="20"/>
                <w:szCs w:val="20"/>
                <w:lang w:val="bg-BG"/>
              </w:rPr>
              <w:t>пост-докторантура</w:t>
            </w:r>
            <w:r w:rsidRPr="008D410C">
              <w:rPr>
                <w:rFonts w:eastAsia="Times New Roman"/>
                <w:sz w:val="20"/>
                <w:szCs w:val="20"/>
                <w:lang w:val="bg-BG"/>
              </w:rPr>
              <w:t xml:space="preserve"> не се отчита като значим фактор за научното израстване</w:t>
            </w:r>
            <w:r w:rsidR="00BC57EC" w:rsidRPr="008D410C">
              <w:rPr>
                <w:rFonts w:eastAsia="Times New Roman"/>
                <w:sz w:val="20"/>
                <w:szCs w:val="20"/>
                <w:lang w:val="bg-BG"/>
              </w:rPr>
              <w:t xml:space="preserve">. Също така преминаването през пост-докторантура като етап от кариерното развитие не се отчита </w:t>
            </w:r>
            <w:r w:rsidR="009B43ED" w:rsidRPr="008D410C">
              <w:rPr>
                <w:rFonts w:eastAsia="Times New Roman"/>
                <w:sz w:val="20"/>
                <w:szCs w:val="20"/>
                <w:lang w:val="bg-BG"/>
              </w:rPr>
              <w:t xml:space="preserve">и </w:t>
            </w:r>
            <w:r w:rsidR="00BC57EC" w:rsidRPr="008D410C">
              <w:rPr>
                <w:rFonts w:eastAsia="Times New Roman"/>
                <w:sz w:val="20"/>
                <w:szCs w:val="20"/>
                <w:lang w:val="bg-BG"/>
              </w:rPr>
              <w:t>като фактор при оценяване на научните достижения.</w:t>
            </w:r>
          </w:p>
          <w:p w14:paraId="7051E02C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bg-BG"/>
              </w:rPr>
            </w:pPr>
          </w:p>
          <w:p w14:paraId="1011E515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bg-BG"/>
              </w:rPr>
            </w:pPr>
            <w:r w:rsidRPr="008D410C">
              <w:rPr>
                <w:rFonts w:eastAsia="Times New Roman"/>
                <w:sz w:val="20"/>
                <w:szCs w:val="20"/>
                <w:lang w:val="bg-BG"/>
              </w:rPr>
              <w:t>ТУ-София полага максимални усилия, за да осигури подходяща инфраструктура, съоръжения и оборудване, необходими за високо качество на изследванията. Наскоро TУ-София стана партньор в четири центъра за върхови постижения и в момента работи за подобряване на условията на труд, необходими за високо качество на научните изследвания (Блок 8 и някои от научно-изследователските лаборатории).</w:t>
            </w:r>
          </w:p>
          <w:p w14:paraId="198E1C17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bg-BG"/>
              </w:rPr>
            </w:pPr>
          </w:p>
          <w:p w14:paraId="7BD86070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bg-BG"/>
              </w:rPr>
            </w:pPr>
            <w:r w:rsidRPr="008D410C">
              <w:rPr>
                <w:rFonts w:eastAsia="Times New Roman"/>
                <w:sz w:val="20"/>
                <w:szCs w:val="20"/>
                <w:lang w:val="bg-BG"/>
              </w:rPr>
              <w:t>ТУ-София е в процес на обновяване на инфраструктурата си. През последните 10 години, в резултат на успешното изпълнение на няколко научноизследователски и инфраструктурни проекта значителна част от научноизследователските лаборатории в университета е реновирана.</w:t>
            </w:r>
          </w:p>
          <w:p w14:paraId="36F8B0D5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bg-BG"/>
              </w:rPr>
            </w:pPr>
          </w:p>
          <w:p w14:paraId="7DA4B6DD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bg-BG"/>
              </w:rPr>
            </w:pPr>
            <w:r w:rsidRPr="008D410C">
              <w:rPr>
                <w:rFonts w:eastAsia="Times New Roman"/>
                <w:sz w:val="20"/>
                <w:szCs w:val="20"/>
                <w:lang w:val="bg-BG"/>
              </w:rPr>
              <w:t>Въпреки тези усилия, все още в някои лаборатории и факултети оборудването е остаряло и е необходимо да продължат усилията в посока неговото обновяване.</w:t>
            </w:r>
          </w:p>
          <w:p w14:paraId="3308342C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bg-BG"/>
              </w:rPr>
            </w:pPr>
          </w:p>
          <w:p w14:paraId="5CC64770" w14:textId="02112B18" w:rsidR="00BC57EC" w:rsidRPr="008D410C" w:rsidRDefault="009B43ED" w:rsidP="00BC57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bg-BG"/>
              </w:rPr>
            </w:pPr>
            <w:r w:rsidRPr="008D410C">
              <w:rPr>
                <w:rFonts w:eastAsia="Times New Roman"/>
                <w:sz w:val="20"/>
                <w:szCs w:val="20"/>
                <w:lang w:val="bg-BG"/>
              </w:rPr>
              <w:t>Финансирането на научноизследователска и развойна</w:t>
            </w:r>
            <w:r w:rsidR="00BC57EC" w:rsidRPr="008D410C">
              <w:rPr>
                <w:rFonts w:eastAsia="Times New Roman"/>
                <w:sz w:val="20"/>
                <w:szCs w:val="20"/>
                <w:lang w:val="bg-BG"/>
              </w:rPr>
              <w:t xml:space="preserve"> дейност и определянето на заплати на учените са един от чувствителните проблеми в България през последните десетилетия. Основен проблем е много ниската средна работна заплата в страната в сравнение със средната заплата в ЕС, особено в сектор наука и образование. </w:t>
            </w:r>
          </w:p>
          <w:p w14:paraId="3DAF6A28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bg-BG"/>
              </w:rPr>
            </w:pPr>
          </w:p>
          <w:p w14:paraId="0D884B8A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bg-BG"/>
              </w:rPr>
            </w:pPr>
            <w:r w:rsidRPr="008D410C">
              <w:rPr>
                <w:rFonts w:eastAsia="Times New Roman"/>
                <w:sz w:val="20"/>
                <w:szCs w:val="20"/>
                <w:lang w:val="bg-BG"/>
              </w:rPr>
              <w:t xml:space="preserve">В настоящия момент може да се каже, че като цяло трудът на изследователите в България е недооценен и тяхното заплащане е ниско, въпреки че стриктно се спазва националното и европейското законодателство. </w:t>
            </w:r>
          </w:p>
          <w:p w14:paraId="40C699CA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bg-BG"/>
              </w:rPr>
            </w:pPr>
          </w:p>
          <w:p w14:paraId="1E06BE1D" w14:textId="77777777" w:rsidR="00BC57EC" w:rsidRPr="008D410C" w:rsidRDefault="00BC57EC" w:rsidP="00BC57EC">
            <w:pPr>
              <w:spacing w:after="0" w:line="240" w:lineRule="auto"/>
              <w:jc w:val="both"/>
              <w:rPr>
                <w:sz w:val="20"/>
                <w:szCs w:val="20"/>
                <w:lang w:val="bg-BG"/>
              </w:rPr>
            </w:pPr>
            <w:r w:rsidRPr="008D410C">
              <w:rPr>
                <w:rFonts w:eastAsia="Times New Roman"/>
                <w:sz w:val="20"/>
                <w:szCs w:val="20"/>
                <w:lang w:val="bg-BG"/>
              </w:rPr>
              <w:t xml:space="preserve">Принципът за равнопоставеност на половете се спазва в съответствие с националното законодателство и вътрешните разпоредби. Назначенията и израстването в кариерата се извършва на основата на научни достижения и качества на кандидата, а не по полов признак. </w:t>
            </w:r>
            <w:r w:rsidRPr="008D410C">
              <w:rPr>
                <w:sz w:val="20"/>
                <w:szCs w:val="20"/>
                <w:lang w:val="bg-BG"/>
              </w:rPr>
              <w:t>В университета няма наличие на дискриминация по полов, етнически, религиозен или друг принцип.</w:t>
            </w:r>
          </w:p>
          <w:p w14:paraId="03B82F50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bg-BG"/>
              </w:rPr>
            </w:pPr>
          </w:p>
          <w:p w14:paraId="4BFBBC32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bg-BG"/>
              </w:rPr>
            </w:pPr>
            <w:r w:rsidRPr="008D410C">
              <w:rPr>
                <w:rFonts w:eastAsia="Times New Roman"/>
                <w:sz w:val="20"/>
                <w:szCs w:val="20"/>
                <w:lang w:val="bg-BG"/>
              </w:rPr>
              <w:t>Като основна слабост може да се изтъкне факта, че в настоящия момент ТУ-София няма разписана и приета Стратегия за развитие на академичния състав и изследователите. Въпросите, свързани с развитие на изследователите се третират като част от Стратегическият план за развитие на ТУ-София, който обаче е за периода 2014-2018.</w:t>
            </w:r>
          </w:p>
          <w:p w14:paraId="136FA37B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bg-BG"/>
              </w:rPr>
            </w:pPr>
          </w:p>
          <w:p w14:paraId="3CDF6CF1" w14:textId="65941B4F" w:rsidR="00BC57EC" w:rsidRPr="008D410C" w:rsidRDefault="00BC57EC" w:rsidP="00BC57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bg-BG"/>
              </w:rPr>
            </w:pPr>
            <w:r w:rsidRPr="008D410C">
              <w:rPr>
                <w:rFonts w:eastAsia="Times New Roman"/>
                <w:sz w:val="20"/>
                <w:szCs w:val="20"/>
                <w:lang w:val="bg-BG"/>
              </w:rPr>
              <w:t>От 2015 г. насам ТУ-София има писмена политика за защита на интелектуалната собств</w:t>
            </w:r>
            <w:r w:rsidR="009B43ED" w:rsidRPr="008D410C">
              <w:rPr>
                <w:rFonts w:eastAsia="Times New Roman"/>
                <w:sz w:val="20"/>
                <w:szCs w:val="20"/>
                <w:lang w:val="bg-BG"/>
              </w:rPr>
              <w:t>еност и Правилник за регистриране, закрила и използване</w:t>
            </w:r>
            <w:r w:rsidRPr="008D410C">
              <w:rPr>
                <w:rFonts w:eastAsia="Times New Roman"/>
                <w:sz w:val="20"/>
                <w:szCs w:val="20"/>
                <w:lang w:val="bg-BG"/>
              </w:rPr>
              <w:t xml:space="preserve"> на обекти</w:t>
            </w:r>
            <w:r w:rsidR="009B43ED" w:rsidRPr="008D410C">
              <w:rPr>
                <w:rFonts w:eastAsia="Times New Roman"/>
                <w:sz w:val="20"/>
                <w:szCs w:val="20"/>
                <w:lang w:val="bg-BG"/>
              </w:rPr>
              <w:t>те</w:t>
            </w:r>
            <w:r w:rsidRPr="008D410C">
              <w:rPr>
                <w:rFonts w:eastAsia="Times New Roman"/>
                <w:sz w:val="20"/>
                <w:szCs w:val="20"/>
                <w:lang w:val="bg-BG"/>
              </w:rPr>
              <w:t xml:space="preserve"> на интелектуална собственост на ТУ-София. Въпреки това, като основна слабост се отчита сравнително ниската степен на комерсиализация на обектите на интелектуална собственост, собственост на университета. </w:t>
            </w:r>
          </w:p>
          <w:p w14:paraId="425CC085" w14:textId="77777777" w:rsidR="002C217D" w:rsidRPr="008D410C" w:rsidRDefault="002C217D" w:rsidP="00BC57E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217D" w:rsidRPr="005D5D17" w14:paraId="0403A830" w14:textId="77777777" w:rsidTr="00411E78">
        <w:trPr>
          <w:trHeight w:val="1002"/>
        </w:trPr>
        <w:tc>
          <w:tcPr>
            <w:tcW w:w="2448" w:type="dxa"/>
            <w:shd w:val="clear" w:color="auto" w:fill="auto"/>
          </w:tcPr>
          <w:p w14:paraId="2827393D" w14:textId="36A879D0" w:rsidR="002C217D" w:rsidRPr="008D410C" w:rsidRDefault="005D5D17" w:rsidP="005D5D17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 w:rsidRPr="008D410C">
              <w:rPr>
                <w:rFonts w:eastAsia="Times New Roman"/>
                <w:b/>
                <w:sz w:val="20"/>
                <w:szCs w:val="20"/>
                <w:lang w:val="bg-BG"/>
              </w:rPr>
              <w:t>Обучение и развитие</w:t>
            </w:r>
          </w:p>
        </w:tc>
        <w:tc>
          <w:tcPr>
            <w:tcW w:w="6614" w:type="dxa"/>
            <w:shd w:val="clear" w:color="auto" w:fill="auto"/>
          </w:tcPr>
          <w:p w14:paraId="6FDD20B6" w14:textId="1216AEF4" w:rsidR="00BC57EC" w:rsidRPr="008D410C" w:rsidRDefault="00BC57EC" w:rsidP="00BC57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bg-BG"/>
              </w:rPr>
            </w:pPr>
            <w:r w:rsidRPr="008D410C">
              <w:rPr>
                <w:rFonts w:asciiTheme="minorHAnsi" w:eastAsia="TimesNewRoman" w:hAnsiTheme="minorHAnsi" w:cstheme="minorHAnsi"/>
                <w:sz w:val="20"/>
                <w:szCs w:val="20"/>
                <w:lang w:val="bg-BG"/>
              </w:rPr>
              <w:t xml:space="preserve">В съответствие с националното законодателство, изследователите на всички етапи от своето кариерно развитие са длъжни да се стремят към самоусъвършенстване като регулярно подобряват и разширяват своите умения и компетенции. </w:t>
            </w:r>
            <w:r w:rsidRPr="008D410C">
              <w:rPr>
                <w:rFonts w:asciiTheme="minorHAnsi" w:eastAsia="TimesNewRoman" w:hAnsiTheme="minorHAnsi" w:cs="TimesNewRoman"/>
                <w:sz w:val="20"/>
                <w:szCs w:val="20"/>
                <w:lang w:val="bg-BG"/>
              </w:rPr>
              <w:t>Всички изследователи, които работят в ТУ-София, на всеки етап от кариерното си развитие</w:t>
            </w:r>
            <w:r w:rsidRPr="008D410C">
              <w:rPr>
                <w:rFonts w:asciiTheme="minorHAnsi" w:eastAsia="TimesNewRoman" w:hAnsiTheme="minorHAnsi"/>
                <w:sz w:val="20"/>
                <w:szCs w:val="20"/>
                <w:lang w:val="bg-BG"/>
              </w:rPr>
              <w:t xml:space="preserve">, </w:t>
            </w:r>
            <w:r w:rsidRPr="008D410C">
              <w:rPr>
                <w:rFonts w:asciiTheme="minorHAnsi" w:eastAsia="TimesNewRoman" w:hAnsiTheme="minorHAnsi" w:cs="TimesNewRoman"/>
                <w:sz w:val="20"/>
                <w:szCs w:val="20"/>
                <w:lang w:val="bg-BG"/>
              </w:rPr>
              <w:t>независимо от вида на договора, си имат възможност за професионално развитие, чрез достъп до мерки за продължаващо ра</w:t>
            </w:r>
            <w:r w:rsidR="009B43ED" w:rsidRPr="008D410C">
              <w:rPr>
                <w:rFonts w:asciiTheme="minorHAnsi" w:eastAsia="TimesNewRoman" w:hAnsiTheme="minorHAnsi" w:cs="TimesNewRoman"/>
                <w:sz w:val="20"/>
                <w:szCs w:val="20"/>
                <w:lang w:val="bg-BG"/>
              </w:rPr>
              <w:t xml:space="preserve">звитие на умения и компетенции. </w:t>
            </w:r>
            <w:r w:rsidRPr="008D410C">
              <w:rPr>
                <w:rFonts w:asciiTheme="minorHAnsi" w:eastAsia="TimesNewRoman" w:hAnsiTheme="minorHAnsi" w:cs="TimesNewRoman"/>
                <w:sz w:val="20"/>
                <w:szCs w:val="20"/>
                <w:lang w:val="bg-BG"/>
              </w:rPr>
              <w:t xml:space="preserve">Изпълнението на това изискване се отчита през определен период (веднъж на 2 или 3 години) чрез системата за атестация на академичния персонал и в съответствие с </w:t>
            </w:r>
            <w:r w:rsidRPr="008D410C">
              <w:rPr>
                <w:rFonts w:eastAsia="Times New Roman"/>
                <w:sz w:val="20"/>
                <w:szCs w:val="20"/>
                <w:lang w:val="bg-BG"/>
              </w:rPr>
              <w:t>Система за оценяване и поддържане на качеството на обучението и научните изследвания в ТУ-София, наречена СОПКОНИ (SOPKONI).</w:t>
            </w:r>
          </w:p>
          <w:p w14:paraId="113CE6B3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bg-BG"/>
              </w:rPr>
            </w:pPr>
          </w:p>
          <w:p w14:paraId="686B08D0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bg-BG"/>
              </w:rPr>
            </w:pPr>
            <w:r w:rsidRPr="008D410C">
              <w:rPr>
                <w:rFonts w:asciiTheme="minorHAnsi" w:eastAsia="TimesNewRoman" w:hAnsiTheme="minorHAnsi" w:cstheme="minorHAnsi"/>
                <w:sz w:val="20"/>
                <w:szCs w:val="20"/>
                <w:lang w:val="bg-BG"/>
              </w:rPr>
              <w:t xml:space="preserve">Изследователите, които са на етап обучение, </w:t>
            </w:r>
            <w:r w:rsidRPr="008D410C">
              <w:rPr>
                <w:rFonts w:asciiTheme="minorHAnsi" w:eastAsia="TimesNewRoman" w:hAnsiTheme="minorHAnsi" w:cstheme="minorHAnsi"/>
                <w:color w:val="000000" w:themeColor="text1"/>
                <w:sz w:val="20"/>
                <w:szCs w:val="20"/>
                <w:lang w:val="bg-BG"/>
              </w:rPr>
              <w:t>поддър</w:t>
            </w:r>
            <w:r w:rsidRPr="008D410C">
              <w:rPr>
                <w:rFonts w:asciiTheme="minorHAnsi" w:eastAsia="TimesNewRoman" w:hAnsiTheme="minorHAnsi" w:cstheme="minorHAnsi"/>
                <w:sz w:val="20"/>
                <w:szCs w:val="20"/>
                <w:lang w:val="bg-BG"/>
              </w:rPr>
              <w:t>жат регламентирани и редовни взаимоотношения с научните си ръководители и докладват напредъка по отношение на научните си разработки пред членовете на катедрата на КС.</w:t>
            </w:r>
          </w:p>
          <w:p w14:paraId="6D3DFEB5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bg-BG"/>
              </w:rPr>
            </w:pPr>
          </w:p>
          <w:p w14:paraId="7E615C36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bg-BG"/>
              </w:rPr>
            </w:pPr>
            <w:r w:rsidRPr="008D410C">
              <w:rPr>
                <w:rFonts w:eastAsia="Times New Roman"/>
                <w:sz w:val="20"/>
                <w:szCs w:val="20"/>
                <w:lang w:val="bg-BG"/>
              </w:rPr>
              <w:t>Целият академичен състав има право да кандидатства за национално и европейско финансиране за докторантури, пост-докторантура, специализации, обмен и други форми, насочени към подпомагане на непрекъснатото академично развитие.</w:t>
            </w:r>
          </w:p>
          <w:p w14:paraId="781B8A8F" w14:textId="77777777" w:rsidR="00BC57EC" w:rsidRPr="008D410C" w:rsidRDefault="00BC57EC" w:rsidP="00BC57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bg-BG"/>
              </w:rPr>
            </w:pPr>
          </w:p>
          <w:p w14:paraId="539F9565" w14:textId="0136657E" w:rsidR="00BC57EC" w:rsidRPr="008D410C" w:rsidRDefault="009B43ED" w:rsidP="00BC57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bg-BG"/>
              </w:rPr>
            </w:pPr>
            <w:r w:rsidRPr="008D410C">
              <w:rPr>
                <w:rFonts w:eastAsia="Times New Roman"/>
                <w:sz w:val="20"/>
                <w:szCs w:val="20"/>
                <w:lang w:val="bg-BG"/>
              </w:rPr>
              <w:t>В</w:t>
            </w:r>
            <w:r w:rsidR="00BC57EC" w:rsidRPr="008D410C">
              <w:rPr>
                <w:rFonts w:eastAsia="Times New Roman"/>
                <w:sz w:val="20"/>
                <w:szCs w:val="20"/>
                <w:lang w:val="bg-BG"/>
              </w:rPr>
              <w:t xml:space="preserve"> библиотеката на университета се организират информационни дни и семинари, осигуряващи обучение за работа с различни бази данни и други теми, свързани с академичното писане и публикуване.</w:t>
            </w:r>
          </w:p>
          <w:p w14:paraId="2C3330DD" w14:textId="77777777" w:rsidR="00BC57EC" w:rsidRPr="008D410C" w:rsidRDefault="00BC57EC" w:rsidP="00BC57EC">
            <w:pPr>
              <w:spacing w:after="0" w:line="240" w:lineRule="auto"/>
              <w:rPr>
                <w:rFonts w:eastAsia="Times New Roman"/>
                <w:sz w:val="20"/>
                <w:szCs w:val="20"/>
                <w:lang w:val="bg-BG"/>
              </w:rPr>
            </w:pPr>
          </w:p>
          <w:p w14:paraId="37C46280" w14:textId="4D7A61E8" w:rsidR="002C217D" w:rsidRPr="008D410C" w:rsidRDefault="00BC57EC" w:rsidP="009B43ED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bg-BG"/>
              </w:rPr>
            </w:pPr>
            <w:r w:rsidRPr="008D410C">
              <w:rPr>
                <w:rFonts w:asciiTheme="minorHAnsi" w:eastAsia="Times New Roman" w:hAnsiTheme="minorHAnsi" w:cstheme="minorHAnsi"/>
                <w:sz w:val="20"/>
                <w:szCs w:val="20"/>
                <w:lang w:val="bg-BG"/>
              </w:rPr>
              <w:t>Ежегодно ТУ-София организира и провежда редица конференции и други научни форуми, обединени във формата „Дни на науката”. Те предоставят възможност за срещи и дискусии на учени от различни научни области. Тези форуми също допринасят за изграждането на мрежи и развитието на висококвалифициран човешки потенциал</w:t>
            </w:r>
            <w:r w:rsidRPr="008D410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bg-BG"/>
              </w:rPr>
              <w:t>.</w:t>
            </w:r>
          </w:p>
        </w:tc>
      </w:tr>
    </w:tbl>
    <w:p w14:paraId="1B57EB31" w14:textId="77777777" w:rsidR="00BA1A9E" w:rsidRPr="000F3AA2" w:rsidRDefault="00BA1A9E" w:rsidP="006C6058"/>
    <w:p w14:paraId="4CB553F0" w14:textId="77777777" w:rsidR="005D5D17" w:rsidRDefault="006C6058" w:rsidP="005D5D17">
      <w:pPr>
        <w:rPr>
          <w:b/>
          <w:smallCaps/>
          <w:spacing w:val="5"/>
          <w:sz w:val="28"/>
          <w:szCs w:val="28"/>
          <w:lang w:val="bg-BG"/>
        </w:rPr>
      </w:pPr>
      <w:bookmarkStart w:id="16" w:name="_Toc428959136"/>
      <w:bookmarkStart w:id="17" w:name="_Toc430010050"/>
      <w:bookmarkStart w:id="18" w:name="_Toc439842256"/>
      <w:bookmarkStart w:id="19" w:name="_Toc439851276"/>
      <w:r w:rsidRPr="000F3AA2">
        <w:rPr>
          <w:b/>
          <w:smallCaps/>
          <w:spacing w:val="5"/>
          <w:sz w:val="28"/>
          <w:szCs w:val="28"/>
        </w:rPr>
        <w:t xml:space="preserve">3. </w:t>
      </w:r>
      <w:bookmarkEnd w:id="16"/>
      <w:bookmarkEnd w:id="17"/>
      <w:bookmarkEnd w:id="18"/>
      <w:bookmarkEnd w:id="19"/>
      <w:r w:rsidR="00411E78">
        <w:rPr>
          <w:b/>
          <w:smallCaps/>
          <w:spacing w:val="5"/>
          <w:sz w:val="28"/>
          <w:szCs w:val="28"/>
          <w:lang w:val="bg-BG"/>
        </w:rPr>
        <w:t>Дейс</w:t>
      </w:r>
      <w:r w:rsidR="002F482D">
        <w:rPr>
          <w:b/>
          <w:smallCaps/>
          <w:spacing w:val="5"/>
          <w:sz w:val="28"/>
          <w:szCs w:val="28"/>
          <w:lang w:val="bg-BG"/>
        </w:rPr>
        <w:t>т</w:t>
      </w:r>
      <w:r w:rsidR="00411E78">
        <w:rPr>
          <w:b/>
          <w:smallCaps/>
          <w:spacing w:val="5"/>
          <w:sz w:val="28"/>
          <w:szCs w:val="28"/>
          <w:lang w:val="bg-BG"/>
        </w:rPr>
        <w:t>вия</w:t>
      </w:r>
    </w:p>
    <w:p w14:paraId="00FE7783" w14:textId="7390946B" w:rsidR="005F46A7" w:rsidRPr="008D410C" w:rsidRDefault="00D65261" w:rsidP="005D5D17">
      <w:pPr>
        <w:jc w:val="both"/>
        <w:rPr>
          <w:b/>
          <w:smallCaps/>
          <w:spacing w:val="5"/>
          <w:sz w:val="24"/>
          <w:szCs w:val="28"/>
          <w:lang w:val="bg-BG"/>
        </w:rPr>
      </w:pPr>
      <w:r w:rsidRPr="008D410C">
        <w:rPr>
          <w:rFonts w:cs="Calibri"/>
          <w:sz w:val="20"/>
          <w:lang w:val="bg-BG"/>
        </w:rPr>
        <w:t xml:space="preserve">Планът за действие и </w:t>
      </w:r>
      <w:r w:rsidR="004A3ABA" w:rsidRPr="008D410C">
        <w:rPr>
          <w:rFonts w:cs="Calibri"/>
          <w:sz w:val="20"/>
          <w:lang w:val="bg-BG"/>
        </w:rPr>
        <w:t>С</w:t>
      </w:r>
      <w:r w:rsidRPr="008D410C">
        <w:rPr>
          <w:rFonts w:cs="Calibri"/>
          <w:sz w:val="20"/>
          <w:lang w:val="bg-BG"/>
        </w:rPr>
        <w:t>тратегията</w:t>
      </w:r>
      <w:r w:rsidR="004A3ABA" w:rsidRPr="008D410C">
        <w:rPr>
          <w:rFonts w:cs="Calibri"/>
          <w:sz w:val="20"/>
          <w:lang w:val="ru-RU"/>
        </w:rPr>
        <w:t xml:space="preserve"> </w:t>
      </w:r>
      <w:r w:rsidR="004A3ABA" w:rsidRPr="008D410C">
        <w:rPr>
          <w:rFonts w:cs="Calibri"/>
          <w:sz w:val="20"/>
          <w:lang w:val="bg-BG"/>
        </w:rPr>
        <w:t>за развитие на човешките</w:t>
      </w:r>
      <w:r w:rsidR="004A3ABA" w:rsidRPr="008D410C">
        <w:rPr>
          <w:rFonts w:cs="Calibri"/>
          <w:sz w:val="20"/>
          <w:lang w:val="ru-RU"/>
        </w:rPr>
        <w:t xml:space="preserve"> </w:t>
      </w:r>
      <w:r w:rsidR="004A3ABA" w:rsidRPr="008D410C">
        <w:rPr>
          <w:rFonts w:cs="Calibri"/>
          <w:sz w:val="20"/>
          <w:lang w:val="bg-BG"/>
        </w:rPr>
        <w:t>ресурси</w:t>
      </w:r>
      <w:r w:rsidR="005F46A7" w:rsidRPr="008D410C">
        <w:rPr>
          <w:rFonts w:cs="Calibri"/>
          <w:sz w:val="20"/>
          <w:lang w:val="ru-RU"/>
        </w:rPr>
        <w:t xml:space="preserve"> </w:t>
      </w:r>
      <w:r w:rsidRPr="008D410C">
        <w:rPr>
          <w:rFonts w:cs="Calibri"/>
          <w:sz w:val="20"/>
          <w:lang w:val="bg-BG"/>
        </w:rPr>
        <w:t>трябва да бъдат публикувани на л</w:t>
      </w:r>
      <w:r w:rsidR="005D5D17" w:rsidRPr="008D410C">
        <w:rPr>
          <w:rFonts w:cs="Calibri"/>
          <w:sz w:val="20"/>
          <w:lang w:val="bg-BG"/>
        </w:rPr>
        <w:t>есно достъпно място на уеб страницата</w:t>
      </w:r>
      <w:r w:rsidRPr="008D410C">
        <w:rPr>
          <w:rFonts w:cs="Calibri"/>
          <w:sz w:val="20"/>
          <w:lang w:val="bg-BG"/>
        </w:rPr>
        <w:t xml:space="preserve"> на организацията. </w:t>
      </w:r>
    </w:p>
    <w:p w14:paraId="45FAAF64" w14:textId="249EAD7C" w:rsidR="00D65261" w:rsidRPr="008D410C" w:rsidRDefault="00D65261" w:rsidP="00D65261">
      <w:pPr>
        <w:rPr>
          <w:sz w:val="20"/>
          <w:u w:val="single"/>
          <w:lang w:val="bg-BG"/>
        </w:rPr>
      </w:pPr>
      <w:r w:rsidRPr="008D410C">
        <w:rPr>
          <w:sz w:val="20"/>
          <w:u w:val="single"/>
          <w:lang w:val="bg-BG"/>
        </w:rPr>
        <w:t xml:space="preserve">Моля представете уеб линк към уеб страницата (страниците), </w:t>
      </w:r>
      <w:r w:rsidR="0031697C" w:rsidRPr="008D410C">
        <w:rPr>
          <w:sz w:val="20"/>
          <w:u w:val="single"/>
          <w:lang w:val="bg-BG"/>
        </w:rPr>
        <w:t>на която е представена</w:t>
      </w:r>
      <w:r w:rsidRPr="008D410C">
        <w:rPr>
          <w:sz w:val="20"/>
          <w:u w:val="single"/>
          <w:lang w:val="bg-BG"/>
        </w:rPr>
        <w:t xml:space="preserve"> </w:t>
      </w:r>
      <w:r w:rsidR="004A3ABA" w:rsidRPr="008D410C">
        <w:rPr>
          <w:sz w:val="20"/>
          <w:u w:val="single"/>
          <w:lang w:val="bg-BG"/>
        </w:rPr>
        <w:t>с</w:t>
      </w:r>
      <w:r w:rsidRPr="008D410C">
        <w:rPr>
          <w:sz w:val="20"/>
          <w:u w:val="single"/>
          <w:lang w:val="bg-BG"/>
        </w:rPr>
        <w:t xml:space="preserve">тратегията за </w:t>
      </w:r>
      <w:r w:rsidR="004A3ABA" w:rsidRPr="008D410C">
        <w:rPr>
          <w:sz w:val="20"/>
          <w:u w:val="single"/>
          <w:lang w:val="bg-BG"/>
        </w:rPr>
        <w:t>развитие</w:t>
      </w:r>
      <w:r w:rsidRPr="008D410C">
        <w:rPr>
          <w:sz w:val="20"/>
          <w:u w:val="single"/>
          <w:lang w:val="bg-BG"/>
        </w:rPr>
        <w:t xml:space="preserve"> на човешките ресурси: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D2780" w14:paraId="6C921595" w14:textId="77777777" w:rsidTr="00D65261">
        <w:tc>
          <w:tcPr>
            <w:tcW w:w="9062" w:type="dxa"/>
            <w:shd w:val="clear" w:color="auto" w:fill="auto"/>
          </w:tcPr>
          <w:p w14:paraId="469C1302" w14:textId="409F331F" w:rsidR="00CD2780" w:rsidRDefault="00D65261" w:rsidP="006C6058">
            <w:r>
              <w:rPr>
                <w:u w:val="single"/>
                <w:lang w:val="bg-BG"/>
              </w:rPr>
              <w:t xml:space="preserve"> </w:t>
            </w:r>
            <w:r w:rsidR="005C2A39">
              <w:t>*</w:t>
            </w:r>
            <w:r w:rsidR="00CD2780">
              <w:t>URL:</w:t>
            </w:r>
            <w:r w:rsidR="00BC57EC">
              <w:t xml:space="preserve"> </w:t>
            </w:r>
            <w:hyperlink r:id="rId9" w:history="1">
              <w:r w:rsidR="00BC57EC" w:rsidRPr="00BC57EC">
                <w:rPr>
                  <w:color w:val="0000FF"/>
                  <w:u w:val="single"/>
                </w:rPr>
                <w:t>https://tu-sofia.bg/university/3093</w:t>
              </w:r>
            </w:hyperlink>
          </w:p>
        </w:tc>
      </w:tr>
    </w:tbl>
    <w:p w14:paraId="3B52D783" w14:textId="77777777" w:rsidR="005F46A7" w:rsidRDefault="005F46A7" w:rsidP="005F46A7">
      <w:pPr>
        <w:rPr>
          <w:rFonts w:cs="Calibri"/>
          <w:shd w:val="clear" w:color="auto" w:fill="FFFFFF"/>
        </w:rPr>
      </w:pPr>
    </w:p>
    <w:p w14:paraId="74228318" w14:textId="62E3AF32" w:rsidR="005F46A7" w:rsidRPr="008D410C" w:rsidRDefault="00D65261" w:rsidP="005F46A7">
      <w:pPr>
        <w:rPr>
          <w:rFonts w:cs="Calibri"/>
          <w:sz w:val="20"/>
          <w:shd w:val="clear" w:color="auto" w:fill="FFFFFF"/>
          <w:lang w:val="bg-BG"/>
        </w:rPr>
      </w:pPr>
      <w:r w:rsidRPr="008D410C">
        <w:rPr>
          <w:rFonts w:cs="Calibri"/>
          <w:sz w:val="20"/>
          <w:shd w:val="clear" w:color="auto" w:fill="FFFFFF"/>
          <w:lang w:val="bg-BG"/>
        </w:rPr>
        <w:t xml:space="preserve">Моля, </w:t>
      </w:r>
      <w:r w:rsidR="009B056C" w:rsidRPr="008D410C">
        <w:rPr>
          <w:rFonts w:cs="Calibri"/>
          <w:sz w:val="20"/>
          <w:shd w:val="clear" w:color="auto" w:fill="FFFFFF"/>
          <w:lang w:val="bg-BG"/>
        </w:rPr>
        <w:t xml:space="preserve">попълнете обобщения списък на всички индивидуални действия, които трябва да бъдат предприети </w:t>
      </w:r>
      <w:r w:rsidR="004A3ABA" w:rsidRPr="008D410C">
        <w:rPr>
          <w:rFonts w:cs="Calibri"/>
          <w:sz w:val="20"/>
          <w:shd w:val="clear" w:color="auto" w:fill="FFFFFF"/>
          <w:lang w:val="bg-BG"/>
        </w:rPr>
        <w:t>относно Стратегията за развитие на човешките ресурси</w:t>
      </w:r>
      <w:r w:rsidR="009B056C" w:rsidRPr="008D410C">
        <w:rPr>
          <w:rFonts w:cs="Calibri"/>
          <w:sz w:val="20"/>
          <w:shd w:val="clear" w:color="auto" w:fill="FFFFFF"/>
          <w:lang w:val="bg-BG"/>
        </w:rPr>
        <w:t xml:space="preserve"> </w:t>
      </w:r>
      <w:r w:rsidR="004A3ABA" w:rsidRPr="008D410C">
        <w:rPr>
          <w:rFonts w:cs="Calibri"/>
          <w:sz w:val="20"/>
          <w:shd w:val="clear" w:color="auto" w:fill="FFFFFF"/>
          <w:lang w:val="bg-BG"/>
        </w:rPr>
        <w:t>з</w:t>
      </w:r>
      <w:r w:rsidR="009B056C" w:rsidRPr="008D410C">
        <w:rPr>
          <w:rFonts w:cs="Calibri"/>
          <w:sz w:val="20"/>
          <w:shd w:val="clear" w:color="auto" w:fill="FFFFFF"/>
          <w:lang w:val="bg-BG"/>
        </w:rPr>
        <w:t xml:space="preserve">а вашата организация, за да </w:t>
      </w:r>
      <w:r w:rsidR="00A05B28" w:rsidRPr="008D410C">
        <w:rPr>
          <w:rFonts w:cs="Calibri"/>
          <w:sz w:val="20"/>
          <w:shd w:val="clear" w:color="auto" w:fill="FFFFFF"/>
          <w:lang w:val="bg-BG"/>
        </w:rPr>
        <w:t>се обхванат</w:t>
      </w:r>
      <w:r w:rsidR="009B056C" w:rsidRPr="008D410C">
        <w:rPr>
          <w:rFonts w:cs="Calibri"/>
          <w:sz w:val="20"/>
          <w:shd w:val="clear" w:color="auto" w:fill="FFFFFF"/>
          <w:lang w:val="bg-BG"/>
        </w:rPr>
        <w:t xml:space="preserve"> слабите</w:t>
      </w:r>
      <w:r w:rsidR="00A05B28" w:rsidRPr="008D410C">
        <w:rPr>
          <w:rFonts w:cs="Calibri"/>
          <w:sz w:val="20"/>
          <w:shd w:val="clear" w:color="auto" w:fill="FFFFFF"/>
          <w:lang w:val="bg-BG"/>
        </w:rPr>
        <w:t xml:space="preserve"> или силни страни определени в А</w:t>
      </w:r>
      <w:r w:rsidR="009B056C" w:rsidRPr="008D410C">
        <w:rPr>
          <w:rFonts w:cs="Calibri"/>
          <w:sz w:val="20"/>
          <w:shd w:val="clear" w:color="auto" w:fill="FFFFFF"/>
          <w:lang w:val="bg-BG"/>
        </w:rPr>
        <w:t>нализа за съответствие.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417"/>
        <w:gridCol w:w="1276"/>
        <w:gridCol w:w="1559"/>
        <w:gridCol w:w="1985"/>
      </w:tblGrid>
      <w:tr w:rsidR="00BC207B" w:rsidRPr="00BC207B" w14:paraId="64FB8115" w14:textId="77777777" w:rsidTr="008D410C">
        <w:tc>
          <w:tcPr>
            <w:tcW w:w="3681" w:type="dxa"/>
            <w:shd w:val="clear" w:color="auto" w:fill="D9D9D9"/>
          </w:tcPr>
          <w:p w14:paraId="6B0C2CFF" w14:textId="188F7F9E" w:rsidR="005F46A7" w:rsidRPr="00BC207B" w:rsidRDefault="009B056C" w:rsidP="00A05B28">
            <w:pPr>
              <w:spacing w:after="0" w:line="240" w:lineRule="auto"/>
              <w:jc w:val="center"/>
              <w:rPr>
                <w:rFonts w:eastAsia="Times New Roman"/>
                <w:b/>
                <w:i/>
                <w:lang w:val="bg-BG"/>
              </w:rPr>
            </w:pPr>
            <w:r w:rsidRPr="00BC207B">
              <w:rPr>
                <w:rFonts w:eastAsia="Times New Roman"/>
                <w:b/>
                <w:i/>
                <w:lang w:val="bg-BG"/>
              </w:rPr>
              <w:t>Предложени</w:t>
            </w:r>
            <w:r w:rsidR="005F46A7" w:rsidRPr="00BC207B">
              <w:rPr>
                <w:rFonts w:eastAsia="Times New Roman"/>
                <w:b/>
                <w:i/>
              </w:rPr>
              <w:t xml:space="preserve"> </w:t>
            </w:r>
            <w:r w:rsidRPr="00BC207B">
              <w:rPr>
                <w:rFonts w:eastAsia="Times New Roman"/>
                <w:b/>
                <w:i/>
                <w:lang w:val="bg-BG"/>
              </w:rPr>
              <w:t>ДЕЙСТВИЯ</w:t>
            </w:r>
          </w:p>
        </w:tc>
        <w:tc>
          <w:tcPr>
            <w:tcW w:w="1417" w:type="dxa"/>
            <w:shd w:val="clear" w:color="auto" w:fill="D9D9D9"/>
          </w:tcPr>
          <w:p w14:paraId="4D272773" w14:textId="44F94C01" w:rsidR="005F46A7" w:rsidRPr="00BC207B" w:rsidRDefault="009B056C" w:rsidP="00A05B28">
            <w:pPr>
              <w:spacing w:after="0" w:line="240" w:lineRule="auto"/>
              <w:jc w:val="center"/>
              <w:rPr>
                <w:rFonts w:eastAsia="Times New Roman"/>
                <w:b/>
                <w:i/>
                <w:lang w:val="bg-BG"/>
              </w:rPr>
            </w:pPr>
            <w:r w:rsidRPr="00BC207B">
              <w:rPr>
                <w:rFonts w:eastAsia="Times New Roman"/>
                <w:b/>
                <w:i/>
                <w:lang w:val="bg-BG"/>
              </w:rPr>
              <w:t>Принцип</w:t>
            </w:r>
            <w:r w:rsidR="005F46A7" w:rsidRPr="003A46C9">
              <w:rPr>
                <w:rFonts w:eastAsia="Times New Roman"/>
                <w:b/>
                <w:i/>
                <w:lang w:val="ru-RU"/>
              </w:rPr>
              <w:t>(</w:t>
            </w:r>
            <w:r w:rsidRPr="00BC207B">
              <w:rPr>
                <w:rFonts w:eastAsia="Times New Roman"/>
                <w:b/>
                <w:i/>
                <w:lang w:val="bg-BG"/>
              </w:rPr>
              <w:t>и</w:t>
            </w:r>
            <w:r w:rsidR="005F46A7" w:rsidRPr="003A46C9">
              <w:rPr>
                <w:rFonts w:eastAsia="Times New Roman"/>
                <w:b/>
                <w:i/>
                <w:lang w:val="ru-RU"/>
              </w:rPr>
              <w:t>)</w:t>
            </w:r>
            <w:r w:rsidR="0031697C" w:rsidRPr="00BC207B">
              <w:rPr>
                <w:rFonts w:eastAsia="Times New Roman"/>
                <w:b/>
                <w:i/>
                <w:lang w:val="bg-BG"/>
              </w:rPr>
              <w:t xml:space="preserve"> </w:t>
            </w:r>
            <w:r w:rsidR="00A05B28" w:rsidRPr="00BC207B">
              <w:rPr>
                <w:rFonts w:eastAsia="Times New Roman"/>
                <w:b/>
                <w:i/>
                <w:lang w:val="bg-BG"/>
              </w:rPr>
              <w:t xml:space="preserve">от Анализа </w:t>
            </w:r>
            <w:r w:rsidR="0031697C" w:rsidRPr="00BC207B">
              <w:rPr>
                <w:rFonts w:eastAsia="Times New Roman"/>
                <w:b/>
                <w:i/>
                <w:lang w:val="bg-BG"/>
              </w:rPr>
              <w:t>за съответствие</w:t>
            </w:r>
          </w:p>
        </w:tc>
        <w:tc>
          <w:tcPr>
            <w:tcW w:w="1276" w:type="dxa"/>
            <w:shd w:val="clear" w:color="auto" w:fill="D9D9D9"/>
          </w:tcPr>
          <w:p w14:paraId="08CC143B" w14:textId="116B8D7E" w:rsidR="00BC207B" w:rsidRDefault="00A05B28" w:rsidP="00A05B28">
            <w:pPr>
              <w:spacing w:after="0" w:line="240" w:lineRule="auto"/>
              <w:jc w:val="center"/>
              <w:rPr>
                <w:rFonts w:eastAsia="Times New Roman"/>
                <w:b/>
                <w:i/>
              </w:rPr>
            </w:pPr>
            <w:r w:rsidRPr="00BC207B">
              <w:rPr>
                <w:rFonts w:eastAsia="Times New Roman"/>
                <w:b/>
                <w:i/>
                <w:lang w:val="bg-BG"/>
              </w:rPr>
              <w:t>Продължи</w:t>
            </w:r>
            <w:r w:rsidR="00A803B0">
              <w:rPr>
                <w:rFonts w:eastAsia="Times New Roman"/>
                <w:b/>
                <w:i/>
                <w:lang w:val="bg-BG"/>
              </w:rPr>
              <w:t>-</w:t>
            </w:r>
            <w:r w:rsidRPr="00BC207B">
              <w:rPr>
                <w:rFonts w:eastAsia="Times New Roman"/>
                <w:b/>
                <w:i/>
                <w:lang w:val="bg-BG"/>
              </w:rPr>
              <w:t>телност</w:t>
            </w:r>
            <w:r w:rsidR="005F46A7" w:rsidRPr="00BC207B">
              <w:rPr>
                <w:rFonts w:eastAsia="Times New Roman"/>
                <w:b/>
                <w:i/>
              </w:rPr>
              <w:t xml:space="preserve"> (</w:t>
            </w:r>
            <w:r w:rsidR="009B056C" w:rsidRPr="00BC207B">
              <w:rPr>
                <w:rFonts w:eastAsia="Times New Roman"/>
                <w:b/>
                <w:i/>
                <w:lang w:val="bg-BG"/>
              </w:rPr>
              <w:t>тримесечие</w:t>
            </w:r>
            <w:r w:rsidR="005F46A7" w:rsidRPr="00BC207B">
              <w:rPr>
                <w:rFonts w:eastAsia="Times New Roman"/>
                <w:b/>
                <w:i/>
              </w:rPr>
              <w:t>/</w:t>
            </w:r>
          </w:p>
          <w:p w14:paraId="72214782" w14:textId="6B391AF5" w:rsidR="005F46A7" w:rsidRPr="00BC207B" w:rsidRDefault="009B056C" w:rsidP="00A05B28">
            <w:pPr>
              <w:spacing w:after="0" w:line="240" w:lineRule="auto"/>
              <w:jc w:val="center"/>
              <w:rPr>
                <w:rFonts w:eastAsia="Times New Roman"/>
                <w:b/>
                <w:i/>
              </w:rPr>
            </w:pPr>
            <w:r w:rsidRPr="00BC207B">
              <w:rPr>
                <w:rFonts w:eastAsia="Times New Roman"/>
                <w:b/>
                <w:i/>
                <w:lang w:val="bg-BG"/>
              </w:rPr>
              <w:t>семестър</w:t>
            </w:r>
            <w:r w:rsidR="005F46A7" w:rsidRPr="00BC207B">
              <w:rPr>
                <w:rFonts w:eastAsia="Times New Roman"/>
                <w:b/>
                <w:i/>
              </w:rPr>
              <w:t>)</w:t>
            </w:r>
          </w:p>
        </w:tc>
        <w:tc>
          <w:tcPr>
            <w:tcW w:w="1559" w:type="dxa"/>
            <w:shd w:val="clear" w:color="auto" w:fill="D9D9D9"/>
          </w:tcPr>
          <w:p w14:paraId="01C1332D" w14:textId="484BD73C" w:rsidR="005F46A7" w:rsidRPr="00BC207B" w:rsidRDefault="009B056C" w:rsidP="00A05B28">
            <w:pPr>
              <w:spacing w:after="0" w:line="240" w:lineRule="auto"/>
              <w:jc w:val="center"/>
              <w:rPr>
                <w:rFonts w:eastAsia="Times New Roman"/>
                <w:b/>
                <w:i/>
                <w:lang w:val="bg-BG"/>
              </w:rPr>
            </w:pPr>
            <w:r w:rsidRPr="00BC207B">
              <w:rPr>
                <w:rFonts w:eastAsia="Times New Roman"/>
                <w:b/>
                <w:i/>
                <w:lang w:val="bg-BG"/>
              </w:rPr>
              <w:t>Отговорно звено</w:t>
            </w:r>
          </w:p>
        </w:tc>
        <w:tc>
          <w:tcPr>
            <w:tcW w:w="1985" w:type="dxa"/>
            <w:shd w:val="clear" w:color="auto" w:fill="D9D9D9"/>
          </w:tcPr>
          <w:p w14:paraId="202718C5" w14:textId="77777777" w:rsidR="00A05B28" w:rsidRPr="00BC207B" w:rsidRDefault="009B056C" w:rsidP="00A05B28">
            <w:pPr>
              <w:spacing w:after="0" w:line="240" w:lineRule="auto"/>
              <w:jc w:val="center"/>
              <w:rPr>
                <w:rFonts w:eastAsia="Times New Roman"/>
                <w:b/>
                <w:i/>
              </w:rPr>
            </w:pPr>
            <w:r w:rsidRPr="00BC207B">
              <w:rPr>
                <w:rFonts w:eastAsia="Times New Roman"/>
                <w:b/>
                <w:i/>
                <w:lang w:val="bg-BG"/>
              </w:rPr>
              <w:t>Показател</w:t>
            </w:r>
            <w:r w:rsidR="005F46A7" w:rsidRPr="00BC207B">
              <w:rPr>
                <w:rFonts w:eastAsia="Times New Roman"/>
                <w:b/>
                <w:i/>
              </w:rPr>
              <w:t>(</w:t>
            </w:r>
            <w:r w:rsidRPr="00BC207B">
              <w:rPr>
                <w:rFonts w:eastAsia="Times New Roman"/>
                <w:b/>
                <w:i/>
                <w:lang w:val="bg-BG"/>
              </w:rPr>
              <w:t>и</w:t>
            </w:r>
            <w:r w:rsidR="00A05B28" w:rsidRPr="00BC207B">
              <w:rPr>
                <w:rFonts w:eastAsia="Times New Roman"/>
                <w:b/>
                <w:i/>
              </w:rPr>
              <w:t>)/</w:t>
            </w:r>
          </w:p>
          <w:p w14:paraId="6BD4FD04" w14:textId="132C28D4" w:rsidR="005F46A7" w:rsidRPr="00BC207B" w:rsidRDefault="009B056C" w:rsidP="00A05B28">
            <w:pPr>
              <w:spacing w:after="0" w:line="240" w:lineRule="auto"/>
              <w:jc w:val="center"/>
              <w:rPr>
                <w:rFonts w:eastAsia="Times New Roman"/>
                <w:b/>
                <w:i/>
              </w:rPr>
            </w:pPr>
            <w:r w:rsidRPr="00BC207B">
              <w:rPr>
                <w:rFonts w:eastAsia="Times New Roman"/>
                <w:b/>
                <w:i/>
                <w:lang w:val="bg-BG"/>
              </w:rPr>
              <w:t>Цел</w:t>
            </w:r>
            <w:r w:rsidR="005F46A7" w:rsidRPr="00BC207B">
              <w:rPr>
                <w:rFonts w:eastAsia="Times New Roman"/>
                <w:b/>
                <w:i/>
              </w:rPr>
              <w:t>(</w:t>
            </w:r>
            <w:r w:rsidRPr="00BC207B">
              <w:rPr>
                <w:rFonts w:eastAsia="Times New Roman"/>
                <w:b/>
                <w:i/>
                <w:lang w:val="bg-BG"/>
              </w:rPr>
              <w:t>и</w:t>
            </w:r>
            <w:r w:rsidR="005F46A7" w:rsidRPr="00BC207B">
              <w:rPr>
                <w:rFonts w:eastAsia="Times New Roman"/>
                <w:b/>
                <w:i/>
              </w:rPr>
              <w:t>)</w:t>
            </w:r>
          </w:p>
        </w:tc>
      </w:tr>
      <w:tr w:rsidR="00BC207B" w:rsidRPr="00220468" w14:paraId="70EB5527" w14:textId="77777777" w:rsidTr="00FA4A23">
        <w:tc>
          <w:tcPr>
            <w:tcW w:w="9918" w:type="dxa"/>
            <w:gridSpan w:val="5"/>
            <w:shd w:val="clear" w:color="auto" w:fill="D9D9D9" w:themeFill="background1" w:themeFillShade="D9"/>
          </w:tcPr>
          <w:p w14:paraId="1A881070" w14:textId="58FA1991" w:rsidR="00BC207B" w:rsidRPr="00220468" w:rsidRDefault="00BC207B" w:rsidP="00BC207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220468">
              <w:rPr>
                <w:rFonts w:eastAsia="Times New Roman"/>
                <w:b/>
                <w:sz w:val="20"/>
                <w:szCs w:val="20"/>
                <w:lang w:val="bg-BG"/>
              </w:rPr>
              <w:t>Етични и професионални принципи</w:t>
            </w:r>
          </w:p>
        </w:tc>
      </w:tr>
      <w:tr w:rsidR="00A803B0" w:rsidRPr="00220468" w14:paraId="69F64C42" w14:textId="77777777" w:rsidTr="008D410C">
        <w:tc>
          <w:tcPr>
            <w:tcW w:w="3681" w:type="dxa"/>
            <w:shd w:val="clear" w:color="auto" w:fill="auto"/>
          </w:tcPr>
          <w:p w14:paraId="6EC680E2" w14:textId="4A644EE0" w:rsidR="005F46A7" w:rsidRPr="00220468" w:rsidRDefault="00A803B0" w:rsidP="009B2F02">
            <w:pPr>
              <w:pStyle w:val="ListParagraph"/>
              <w:numPr>
                <w:ilvl w:val="0"/>
                <w:numId w:val="25"/>
              </w:numPr>
              <w:spacing w:after="120"/>
              <w:ind w:left="170" w:hanging="170"/>
              <w:contextualSpacing w:val="0"/>
              <w:jc w:val="left"/>
              <w:rPr>
                <w:i/>
                <w:sz w:val="20"/>
                <w:lang w:val="bg-BG"/>
              </w:rPr>
            </w:pPr>
            <w:r w:rsidRPr="00220468">
              <w:rPr>
                <w:i/>
                <w:sz w:val="20"/>
                <w:lang w:val="bg-BG"/>
              </w:rPr>
              <w:t>Разработване на Насоки за отговорно провеждане на изследванията и изследователска честност</w:t>
            </w:r>
            <w:r w:rsidR="009B2F02" w:rsidRPr="00220468">
              <w:rPr>
                <w:i/>
                <w:sz w:val="20"/>
                <w:lang w:val="bg-BG"/>
              </w:rPr>
              <w:t>.</w:t>
            </w:r>
            <w:r w:rsidRPr="00220468">
              <w:rPr>
                <w:i/>
                <w:sz w:val="20"/>
                <w:lang w:val="bg-BG"/>
              </w:rPr>
              <w:t xml:space="preserve"> </w:t>
            </w:r>
          </w:p>
          <w:p w14:paraId="550633D0" w14:textId="0A3AF888" w:rsidR="00A803B0" w:rsidRPr="00220468" w:rsidRDefault="00A803B0" w:rsidP="009B2F02">
            <w:pPr>
              <w:pStyle w:val="ListParagraph"/>
              <w:numPr>
                <w:ilvl w:val="0"/>
                <w:numId w:val="25"/>
              </w:numPr>
              <w:spacing w:after="120"/>
              <w:ind w:left="170" w:hanging="170"/>
              <w:contextualSpacing w:val="0"/>
              <w:jc w:val="left"/>
              <w:rPr>
                <w:i/>
                <w:sz w:val="20"/>
                <w:lang w:val="bg-BG"/>
              </w:rPr>
            </w:pPr>
            <w:r w:rsidRPr="00220468">
              <w:rPr>
                <w:i/>
                <w:sz w:val="20"/>
                <w:lang w:val="bg-BG"/>
              </w:rPr>
              <w:t xml:space="preserve">Подобряване на политиките на факултетите,   </w:t>
            </w:r>
            <w:r w:rsidRPr="00220468">
              <w:rPr>
                <w:i/>
                <w:color w:val="000000" w:themeColor="text1"/>
                <w:sz w:val="20"/>
                <w:lang w:val="bg-BG"/>
              </w:rPr>
              <w:t xml:space="preserve">насочени към </w:t>
            </w:r>
            <w:r w:rsidRPr="00220468">
              <w:rPr>
                <w:i/>
                <w:sz w:val="20"/>
                <w:lang w:val="bg-BG"/>
              </w:rPr>
              <w:t>спазването на Етичния кодекс на ТУ-София</w:t>
            </w:r>
            <w:r w:rsidR="009B2F02" w:rsidRPr="00220468">
              <w:rPr>
                <w:i/>
                <w:sz w:val="20"/>
                <w:lang w:val="bg-BG"/>
              </w:rPr>
              <w:t>.</w:t>
            </w:r>
          </w:p>
          <w:p w14:paraId="135D3CC5" w14:textId="2AE3CCA3" w:rsidR="002E2F68" w:rsidRPr="00220468" w:rsidRDefault="002E2F68" w:rsidP="009B2F02">
            <w:pPr>
              <w:pStyle w:val="ListParagraph"/>
              <w:numPr>
                <w:ilvl w:val="0"/>
                <w:numId w:val="25"/>
              </w:numPr>
              <w:spacing w:after="120"/>
              <w:ind w:left="170" w:hanging="170"/>
              <w:contextualSpacing w:val="0"/>
              <w:jc w:val="left"/>
              <w:rPr>
                <w:i/>
                <w:sz w:val="20"/>
                <w:lang w:val="bg-BG"/>
              </w:rPr>
            </w:pPr>
            <w:r w:rsidRPr="00220468">
              <w:rPr>
                <w:i/>
                <w:sz w:val="20"/>
                <w:lang w:val="bg-BG"/>
              </w:rPr>
              <w:t>Обучения на изследователите от всички групи по „Етика на научните изследвания“</w:t>
            </w:r>
          </w:p>
          <w:p w14:paraId="27EBA718" w14:textId="6B62BDA0" w:rsidR="009B2F02" w:rsidRPr="00220468" w:rsidRDefault="009B2F02" w:rsidP="009B2F02">
            <w:pPr>
              <w:pStyle w:val="ListParagraph"/>
              <w:numPr>
                <w:ilvl w:val="0"/>
                <w:numId w:val="25"/>
              </w:numPr>
              <w:spacing w:after="120"/>
              <w:ind w:left="170" w:hanging="170"/>
              <w:contextualSpacing w:val="0"/>
              <w:jc w:val="left"/>
              <w:rPr>
                <w:i/>
                <w:sz w:val="20"/>
                <w:lang w:val="bg-BG"/>
              </w:rPr>
            </w:pPr>
            <w:r w:rsidRPr="00220468">
              <w:rPr>
                <w:i/>
                <w:sz w:val="20"/>
                <w:lang w:val="bg-BG"/>
              </w:rPr>
              <w:t>Обучение на докторанти и назначени изследователи по „Етика на научните изследвания“.</w:t>
            </w:r>
          </w:p>
          <w:p w14:paraId="7160F52F" w14:textId="77777777" w:rsidR="009B2F02" w:rsidRPr="00220468" w:rsidRDefault="009B2F02" w:rsidP="009B2F02">
            <w:pPr>
              <w:pStyle w:val="ListParagraph"/>
              <w:numPr>
                <w:ilvl w:val="0"/>
                <w:numId w:val="25"/>
              </w:numPr>
              <w:spacing w:after="120"/>
              <w:ind w:left="170" w:hanging="170"/>
              <w:contextualSpacing w:val="0"/>
              <w:jc w:val="left"/>
              <w:rPr>
                <w:i/>
                <w:sz w:val="20"/>
                <w:lang w:val="bg-BG"/>
              </w:rPr>
            </w:pPr>
            <w:r w:rsidRPr="00220468">
              <w:rPr>
                <w:i/>
                <w:sz w:val="20"/>
                <w:lang w:val="bg-BG"/>
              </w:rPr>
              <w:t xml:space="preserve">Въвеждане на по-строга политика и план за действие по изпълнение на конкретни мерки, които да се </w:t>
            </w:r>
            <w:r w:rsidRPr="00220468">
              <w:rPr>
                <w:i/>
                <w:sz w:val="20"/>
                <w:lang w:val="bg-BG"/>
              </w:rPr>
              <w:lastRenderedPageBreak/>
              <w:t>прилагат в случай на доказано нарушение на Етичния кодекс.</w:t>
            </w:r>
          </w:p>
          <w:p w14:paraId="689E9CF1" w14:textId="4A830692" w:rsidR="009B2F02" w:rsidRPr="00220468" w:rsidRDefault="009B2F02" w:rsidP="009B2F02">
            <w:pPr>
              <w:pStyle w:val="ListParagraph"/>
              <w:numPr>
                <w:ilvl w:val="0"/>
                <w:numId w:val="25"/>
              </w:numPr>
              <w:spacing w:after="120"/>
              <w:ind w:left="170" w:hanging="170"/>
              <w:contextualSpacing w:val="0"/>
              <w:jc w:val="left"/>
              <w:rPr>
                <w:i/>
                <w:sz w:val="20"/>
                <w:lang w:val="bg-BG"/>
              </w:rPr>
            </w:pPr>
            <w:r w:rsidRPr="00220468">
              <w:rPr>
                <w:i/>
                <w:sz w:val="20"/>
                <w:lang w:val="bg-BG"/>
              </w:rPr>
              <w:t>Закупуване на софтуер за проверка за плагиатство.</w:t>
            </w:r>
          </w:p>
          <w:p w14:paraId="0DFC45EC" w14:textId="189B9EBC" w:rsidR="002E2F68" w:rsidRPr="00220468" w:rsidRDefault="002E2F68" w:rsidP="009B2F02">
            <w:pPr>
              <w:pStyle w:val="ListParagraph"/>
              <w:numPr>
                <w:ilvl w:val="0"/>
                <w:numId w:val="25"/>
              </w:numPr>
              <w:spacing w:after="120"/>
              <w:ind w:left="170" w:hanging="170"/>
              <w:contextualSpacing w:val="0"/>
              <w:jc w:val="left"/>
              <w:rPr>
                <w:i/>
                <w:sz w:val="20"/>
                <w:lang w:val="bg-BG"/>
              </w:rPr>
            </w:pPr>
            <w:r w:rsidRPr="00220468">
              <w:rPr>
                <w:i/>
                <w:sz w:val="20"/>
                <w:lang w:val="bg-BG"/>
              </w:rPr>
              <w:t>Обучения на изследователите от всички групи по закрила на интелектуална собственост и анти-плагиатство.</w:t>
            </w:r>
          </w:p>
          <w:p w14:paraId="3A1AE2A5" w14:textId="40E0DFF3" w:rsidR="009B2F02" w:rsidRPr="00220468" w:rsidRDefault="009B2F02" w:rsidP="009B2F02">
            <w:pPr>
              <w:pStyle w:val="ListParagraph"/>
              <w:numPr>
                <w:ilvl w:val="0"/>
                <w:numId w:val="25"/>
              </w:numPr>
              <w:spacing w:after="120"/>
              <w:ind w:left="170" w:hanging="170"/>
              <w:contextualSpacing w:val="0"/>
              <w:jc w:val="left"/>
              <w:rPr>
                <w:i/>
                <w:sz w:val="20"/>
                <w:lang w:val="bg-BG"/>
              </w:rPr>
            </w:pPr>
            <w:r w:rsidRPr="00220468">
              <w:rPr>
                <w:i/>
                <w:sz w:val="20"/>
                <w:lang w:val="bg-BG"/>
              </w:rPr>
              <w:t>Обучение на докторанти по закрила на интелектуална собственост и анти-плагиатство.</w:t>
            </w:r>
          </w:p>
        </w:tc>
        <w:tc>
          <w:tcPr>
            <w:tcW w:w="1417" w:type="dxa"/>
          </w:tcPr>
          <w:p w14:paraId="0C44B4BC" w14:textId="2C6BEA6C" w:rsidR="00BC207B" w:rsidRPr="0013457F" w:rsidRDefault="00BC207B" w:rsidP="0013457F">
            <w:pPr>
              <w:pStyle w:val="ListParagraph"/>
              <w:numPr>
                <w:ilvl w:val="0"/>
                <w:numId w:val="21"/>
              </w:numPr>
              <w:ind w:left="170" w:hanging="170"/>
              <w:jc w:val="left"/>
              <w:rPr>
                <w:sz w:val="18"/>
                <w:szCs w:val="18"/>
                <w:lang w:val="bg-BG"/>
              </w:rPr>
            </w:pPr>
            <w:r w:rsidRPr="0013457F">
              <w:rPr>
                <w:sz w:val="18"/>
                <w:szCs w:val="18"/>
                <w:lang w:val="bg-BG"/>
              </w:rPr>
              <w:lastRenderedPageBreak/>
              <w:t>Етични принципи</w:t>
            </w:r>
          </w:p>
          <w:p w14:paraId="430D0681" w14:textId="5D02745E" w:rsidR="003121BB" w:rsidRPr="0013457F" w:rsidRDefault="003121BB" w:rsidP="0013457F">
            <w:pPr>
              <w:pStyle w:val="ListParagraph"/>
              <w:ind w:left="170"/>
              <w:jc w:val="left"/>
              <w:rPr>
                <w:sz w:val="18"/>
                <w:szCs w:val="18"/>
                <w:lang w:val="bg-BG"/>
              </w:rPr>
            </w:pPr>
          </w:p>
          <w:p w14:paraId="42371ACE" w14:textId="77777777" w:rsidR="003121BB" w:rsidRPr="0013457F" w:rsidRDefault="003121BB" w:rsidP="0013457F">
            <w:pPr>
              <w:pStyle w:val="ListParagraph"/>
              <w:ind w:left="170"/>
              <w:jc w:val="left"/>
              <w:rPr>
                <w:sz w:val="18"/>
                <w:szCs w:val="18"/>
                <w:lang w:val="bg-BG"/>
              </w:rPr>
            </w:pPr>
          </w:p>
          <w:p w14:paraId="41CBD5DE" w14:textId="7599DB48" w:rsidR="00BC207B" w:rsidRPr="0013457F" w:rsidRDefault="00BC207B" w:rsidP="0013457F">
            <w:pPr>
              <w:pStyle w:val="ListParagraph"/>
              <w:numPr>
                <w:ilvl w:val="0"/>
                <w:numId w:val="21"/>
              </w:numPr>
              <w:ind w:left="170" w:hanging="170"/>
              <w:jc w:val="left"/>
              <w:rPr>
                <w:sz w:val="18"/>
                <w:szCs w:val="18"/>
                <w:lang w:val="bg-BG"/>
              </w:rPr>
            </w:pPr>
            <w:r w:rsidRPr="0013457F">
              <w:rPr>
                <w:sz w:val="18"/>
                <w:szCs w:val="18"/>
                <w:lang w:val="bg-BG"/>
              </w:rPr>
              <w:t>Професионална отговорност</w:t>
            </w:r>
          </w:p>
          <w:p w14:paraId="2E0413A0" w14:textId="77777777" w:rsidR="003121BB" w:rsidRPr="0013457F" w:rsidRDefault="003121BB" w:rsidP="0013457F">
            <w:pPr>
              <w:pStyle w:val="ListParagraph"/>
              <w:rPr>
                <w:sz w:val="18"/>
                <w:szCs w:val="18"/>
                <w:lang w:val="bg-BG"/>
              </w:rPr>
            </w:pPr>
          </w:p>
          <w:p w14:paraId="2A7E4761" w14:textId="77777777" w:rsidR="003121BB" w:rsidRPr="0013457F" w:rsidRDefault="003121BB" w:rsidP="0013457F">
            <w:pPr>
              <w:pStyle w:val="ListParagraph"/>
              <w:ind w:left="170"/>
              <w:jc w:val="left"/>
              <w:rPr>
                <w:sz w:val="18"/>
                <w:szCs w:val="18"/>
                <w:lang w:val="bg-BG"/>
              </w:rPr>
            </w:pPr>
          </w:p>
          <w:p w14:paraId="641F4A11" w14:textId="77777777" w:rsidR="00BC207B" w:rsidRPr="0013457F" w:rsidRDefault="00BC207B" w:rsidP="0013457F">
            <w:pPr>
              <w:pStyle w:val="ListParagraph"/>
              <w:numPr>
                <w:ilvl w:val="0"/>
                <w:numId w:val="21"/>
              </w:numPr>
              <w:ind w:left="170" w:hanging="170"/>
              <w:jc w:val="left"/>
              <w:rPr>
                <w:sz w:val="18"/>
                <w:szCs w:val="18"/>
                <w:lang w:val="bg-BG"/>
              </w:rPr>
            </w:pPr>
            <w:r w:rsidRPr="0013457F">
              <w:rPr>
                <w:sz w:val="18"/>
                <w:szCs w:val="18"/>
                <w:lang w:val="bg-BG"/>
              </w:rPr>
              <w:t>Професионално отношение</w:t>
            </w:r>
          </w:p>
          <w:p w14:paraId="4CE9D0AD" w14:textId="77777777" w:rsidR="00BC207B" w:rsidRPr="00220468" w:rsidRDefault="00BC207B" w:rsidP="00BC207B">
            <w:pPr>
              <w:pStyle w:val="ListParagraph"/>
              <w:ind w:left="360"/>
              <w:jc w:val="left"/>
              <w:rPr>
                <w:sz w:val="20"/>
                <w:lang w:val="bg-BG"/>
              </w:rPr>
            </w:pPr>
          </w:p>
          <w:p w14:paraId="34759475" w14:textId="77777777" w:rsidR="005F46A7" w:rsidRPr="00220468" w:rsidDel="00AE6D51" w:rsidRDefault="005F46A7" w:rsidP="0095321E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  <w:shd w:val="clear" w:color="auto" w:fill="auto"/>
          </w:tcPr>
          <w:p w14:paraId="477B8211" w14:textId="2EFB124F" w:rsidR="005F46A7" w:rsidRPr="00220468" w:rsidRDefault="00A4442B" w:rsidP="00A803B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i/>
                <w:sz w:val="20"/>
                <w:szCs w:val="20"/>
                <w:lang w:val="bg-BG"/>
              </w:rPr>
              <w:t>6 месеца,</w:t>
            </w:r>
            <w:r w:rsidR="00A803B0" w:rsidRPr="00220468">
              <w:rPr>
                <w:rFonts w:eastAsia="Times New Roman"/>
                <w:i/>
                <w:sz w:val="20"/>
                <w:szCs w:val="20"/>
                <w:lang w:val="bg-BG"/>
              </w:rPr>
              <w:t xml:space="preserve"> </w:t>
            </w:r>
            <w:r w:rsidRPr="00220468">
              <w:rPr>
                <w:rFonts w:eastAsia="Times New Roman"/>
                <w:i/>
                <w:sz w:val="20"/>
                <w:szCs w:val="20"/>
                <w:lang w:val="bg-BG"/>
              </w:rPr>
              <w:t>юни -</w:t>
            </w:r>
            <w:r w:rsidR="00A803B0" w:rsidRPr="00220468">
              <w:rPr>
                <w:rFonts w:eastAsia="Times New Roman"/>
                <w:i/>
                <w:sz w:val="20"/>
                <w:szCs w:val="20"/>
                <w:lang w:val="bg-BG"/>
              </w:rPr>
              <w:t>ноември 2020</w:t>
            </w:r>
          </w:p>
          <w:p w14:paraId="549F4361" w14:textId="77777777" w:rsidR="003121BB" w:rsidRPr="00220468" w:rsidRDefault="003121BB" w:rsidP="00A803B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</w:p>
          <w:p w14:paraId="3D22F3B4" w14:textId="77777777" w:rsidR="003121BB" w:rsidRPr="00220468" w:rsidRDefault="003121BB" w:rsidP="00A803B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</w:p>
          <w:p w14:paraId="1DF3C87D" w14:textId="77777777" w:rsidR="003121BB" w:rsidRPr="00220468" w:rsidRDefault="003121BB" w:rsidP="00A803B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</w:p>
          <w:p w14:paraId="7CCBECFB" w14:textId="77777777" w:rsidR="003121BB" w:rsidRPr="00220468" w:rsidRDefault="003121BB" w:rsidP="00A803B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</w:p>
          <w:p w14:paraId="7471FCF7" w14:textId="77777777" w:rsidR="003121BB" w:rsidRPr="00220468" w:rsidRDefault="003121BB" w:rsidP="00A803B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</w:p>
          <w:p w14:paraId="3375D3DA" w14:textId="77777777" w:rsidR="003121BB" w:rsidRPr="00220468" w:rsidRDefault="003121BB" w:rsidP="00A803B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i/>
                <w:sz w:val="20"/>
                <w:szCs w:val="20"/>
                <w:lang w:val="bg-BG"/>
              </w:rPr>
              <w:t>1 година, до април 2021</w:t>
            </w:r>
          </w:p>
          <w:p w14:paraId="27D9E575" w14:textId="77777777" w:rsidR="00A4442B" w:rsidRPr="00220468" w:rsidRDefault="00A4442B" w:rsidP="00A803B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</w:p>
          <w:p w14:paraId="6E183ACE" w14:textId="77777777" w:rsidR="00A4442B" w:rsidRPr="00220468" w:rsidRDefault="00A4442B" w:rsidP="00A803B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</w:p>
          <w:p w14:paraId="749E617F" w14:textId="77777777" w:rsidR="00A4442B" w:rsidRPr="00220468" w:rsidRDefault="00A4442B" w:rsidP="00A803B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</w:p>
          <w:p w14:paraId="521E8DB5" w14:textId="77777777" w:rsidR="00A4442B" w:rsidRPr="00220468" w:rsidRDefault="00A4442B" w:rsidP="00A803B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</w:p>
          <w:p w14:paraId="77DA88D3" w14:textId="77777777" w:rsidR="00A4442B" w:rsidRPr="00220468" w:rsidRDefault="00A4442B" w:rsidP="00A803B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</w:p>
          <w:p w14:paraId="328B6F78" w14:textId="77777777" w:rsidR="00A4442B" w:rsidRPr="00220468" w:rsidRDefault="00A4442B" w:rsidP="00A803B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i/>
                <w:sz w:val="20"/>
                <w:szCs w:val="20"/>
                <w:lang w:val="bg-BG"/>
              </w:rPr>
              <w:t>1 година, до април 2021</w:t>
            </w:r>
          </w:p>
          <w:p w14:paraId="32FE24C2" w14:textId="77777777" w:rsidR="00A4442B" w:rsidRPr="00220468" w:rsidRDefault="00A4442B" w:rsidP="00A803B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</w:p>
          <w:p w14:paraId="24014EDD" w14:textId="77777777" w:rsidR="00A4442B" w:rsidRPr="00220468" w:rsidRDefault="00A4442B" w:rsidP="00A803B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</w:p>
          <w:p w14:paraId="3F6F8896" w14:textId="77777777" w:rsidR="00A4442B" w:rsidRPr="00220468" w:rsidRDefault="00A4442B" w:rsidP="00A803B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</w:p>
          <w:p w14:paraId="114ED94D" w14:textId="77777777" w:rsidR="00A4442B" w:rsidRPr="00220468" w:rsidRDefault="00A4442B" w:rsidP="00A803B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</w:p>
          <w:p w14:paraId="1D5A6C9B" w14:textId="77777777" w:rsidR="00A4442B" w:rsidRPr="00220468" w:rsidRDefault="00A4442B" w:rsidP="00A803B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</w:p>
          <w:p w14:paraId="7D269CD6" w14:textId="77777777" w:rsidR="00A4442B" w:rsidRPr="00220468" w:rsidRDefault="00A4442B" w:rsidP="00A803B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i/>
                <w:sz w:val="20"/>
                <w:szCs w:val="20"/>
                <w:lang w:val="bg-BG"/>
              </w:rPr>
              <w:t>1 година, до април 2021</w:t>
            </w:r>
          </w:p>
          <w:p w14:paraId="65D1FDD7" w14:textId="77777777" w:rsidR="00A4442B" w:rsidRPr="00220468" w:rsidRDefault="00A4442B" w:rsidP="00A803B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</w:p>
          <w:p w14:paraId="1AF7FF0F" w14:textId="77777777" w:rsidR="00A4442B" w:rsidRPr="00220468" w:rsidRDefault="00A4442B" w:rsidP="00A803B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</w:p>
          <w:p w14:paraId="3F521551" w14:textId="77777777" w:rsidR="00A4442B" w:rsidRPr="00220468" w:rsidRDefault="00A4442B" w:rsidP="00A803B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</w:p>
          <w:p w14:paraId="724AAF25" w14:textId="77777777" w:rsidR="00A4442B" w:rsidRPr="00220468" w:rsidRDefault="00A4442B" w:rsidP="00A803B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</w:p>
          <w:p w14:paraId="1DCD0F0B" w14:textId="235816F7" w:rsidR="00A4442B" w:rsidRPr="00220468" w:rsidRDefault="00A4442B" w:rsidP="00A803B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i/>
                <w:sz w:val="20"/>
                <w:szCs w:val="20"/>
                <w:lang w:val="bg-BG"/>
              </w:rPr>
              <w:t>1 година, до април 2021</w:t>
            </w:r>
          </w:p>
        </w:tc>
        <w:tc>
          <w:tcPr>
            <w:tcW w:w="1559" w:type="dxa"/>
            <w:shd w:val="clear" w:color="auto" w:fill="auto"/>
          </w:tcPr>
          <w:p w14:paraId="66C1EA67" w14:textId="4B03043E" w:rsidR="005F46A7" w:rsidRPr="00220468" w:rsidRDefault="00A803B0" w:rsidP="00A803B0">
            <w:pPr>
              <w:spacing w:after="0" w:line="240" w:lineRule="auto"/>
              <w:rPr>
                <w:rFonts w:eastAsia="Times New Roman"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sz w:val="20"/>
                <w:szCs w:val="20"/>
                <w:lang w:val="bg-BG"/>
              </w:rPr>
              <w:lastRenderedPageBreak/>
              <w:t>Работна</w:t>
            </w:r>
            <w:r w:rsidR="00A4442B" w:rsidRPr="00220468">
              <w:rPr>
                <w:rFonts w:eastAsia="Times New Roman"/>
                <w:sz w:val="20"/>
                <w:szCs w:val="20"/>
                <w:lang w:val="bg-BG"/>
              </w:rPr>
              <w:t>та</w:t>
            </w:r>
            <w:r w:rsidRPr="00220468">
              <w:rPr>
                <w:rFonts w:eastAsia="Times New Roman"/>
                <w:sz w:val="20"/>
                <w:szCs w:val="20"/>
                <w:lang w:val="bg-BG"/>
              </w:rPr>
              <w:t xml:space="preserve"> група с помощта на юрист и патентен специалист</w:t>
            </w:r>
          </w:p>
          <w:p w14:paraId="518D2602" w14:textId="77777777" w:rsidR="003121BB" w:rsidRPr="00220468" w:rsidRDefault="003121BB" w:rsidP="00A803B0">
            <w:pPr>
              <w:spacing w:after="0" w:line="240" w:lineRule="auto"/>
              <w:rPr>
                <w:rFonts w:eastAsia="Times New Roman"/>
                <w:sz w:val="20"/>
                <w:szCs w:val="20"/>
                <w:lang w:val="bg-BG"/>
              </w:rPr>
            </w:pPr>
          </w:p>
          <w:p w14:paraId="580E49D3" w14:textId="77777777" w:rsidR="003121BB" w:rsidRPr="00220468" w:rsidRDefault="003121BB" w:rsidP="00A803B0">
            <w:pPr>
              <w:spacing w:after="0" w:line="240" w:lineRule="auto"/>
              <w:rPr>
                <w:rFonts w:eastAsia="Times New Roman"/>
                <w:sz w:val="20"/>
                <w:szCs w:val="20"/>
                <w:lang w:val="bg-BG"/>
              </w:rPr>
            </w:pPr>
          </w:p>
          <w:p w14:paraId="20BF4EED" w14:textId="5E65A4E0" w:rsidR="003121BB" w:rsidRPr="00220468" w:rsidRDefault="003121BB" w:rsidP="00A803B0">
            <w:pPr>
              <w:spacing w:after="0" w:line="240" w:lineRule="auto"/>
              <w:rPr>
                <w:rFonts w:eastAsia="Times New Roman"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sz w:val="20"/>
                <w:szCs w:val="20"/>
                <w:lang w:val="bg-BG"/>
              </w:rPr>
              <w:t xml:space="preserve">Съответния представител на факултета в Работната </w:t>
            </w:r>
            <w:r w:rsidR="00A4442B" w:rsidRPr="00220468">
              <w:rPr>
                <w:rFonts w:eastAsia="Times New Roman"/>
                <w:sz w:val="20"/>
                <w:szCs w:val="20"/>
                <w:lang w:val="bg-BG"/>
              </w:rPr>
              <w:t>група</w:t>
            </w:r>
            <w:r w:rsidR="002E2F68" w:rsidRPr="00220468">
              <w:rPr>
                <w:rFonts w:eastAsia="Times New Roman"/>
                <w:sz w:val="20"/>
                <w:szCs w:val="20"/>
                <w:lang w:val="bg-BG"/>
              </w:rPr>
              <w:t xml:space="preserve"> и представители на Етичната комисия</w:t>
            </w:r>
          </w:p>
          <w:p w14:paraId="26105FD1" w14:textId="77777777" w:rsidR="00A4442B" w:rsidRPr="00220468" w:rsidRDefault="00A4442B" w:rsidP="00A803B0">
            <w:pPr>
              <w:spacing w:after="0" w:line="240" w:lineRule="auto"/>
              <w:rPr>
                <w:rFonts w:eastAsia="Times New Roman"/>
                <w:sz w:val="20"/>
                <w:szCs w:val="20"/>
                <w:lang w:val="bg-BG"/>
              </w:rPr>
            </w:pPr>
          </w:p>
          <w:p w14:paraId="1F1EF356" w14:textId="77777777" w:rsidR="00A4442B" w:rsidRPr="00220468" w:rsidRDefault="00A4442B" w:rsidP="00A803B0">
            <w:pPr>
              <w:spacing w:after="0" w:line="240" w:lineRule="auto"/>
              <w:rPr>
                <w:rFonts w:eastAsia="Times New Roman"/>
                <w:sz w:val="20"/>
                <w:szCs w:val="20"/>
                <w:lang w:val="bg-BG"/>
              </w:rPr>
            </w:pPr>
          </w:p>
          <w:p w14:paraId="613CE197" w14:textId="77777777" w:rsidR="002E2F68" w:rsidRPr="00220468" w:rsidRDefault="00A4442B" w:rsidP="002E2F68">
            <w:pPr>
              <w:spacing w:after="0" w:line="240" w:lineRule="auto"/>
              <w:rPr>
                <w:rFonts w:eastAsia="Times New Roman"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sz w:val="20"/>
                <w:szCs w:val="20"/>
                <w:lang w:val="bg-BG"/>
              </w:rPr>
              <w:t xml:space="preserve">Съответния представител </w:t>
            </w:r>
            <w:r w:rsidRPr="00220468">
              <w:rPr>
                <w:rFonts w:eastAsia="Times New Roman"/>
                <w:sz w:val="20"/>
                <w:szCs w:val="20"/>
                <w:lang w:val="bg-BG"/>
              </w:rPr>
              <w:lastRenderedPageBreak/>
              <w:t>на факултета в Работната група</w:t>
            </w:r>
            <w:r w:rsidR="002E2F68" w:rsidRPr="00220468">
              <w:rPr>
                <w:rFonts w:eastAsia="Times New Roman"/>
                <w:sz w:val="20"/>
                <w:szCs w:val="20"/>
                <w:lang w:val="bg-BG"/>
              </w:rPr>
              <w:t xml:space="preserve"> и представители на Етичната комисия</w:t>
            </w:r>
          </w:p>
          <w:p w14:paraId="7BE6FADA" w14:textId="2AB52496" w:rsidR="00A4442B" w:rsidRPr="00220468" w:rsidRDefault="00A4442B" w:rsidP="00A803B0">
            <w:pPr>
              <w:spacing w:after="0" w:line="240" w:lineRule="auto"/>
              <w:rPr>
                <w:rFonts w:eastAsia="Times New Roman"/>
                <w:sz w:val="20"/>
                <w:szCs w:val="20"/>
                <w:lang w:val="bg-BG"/>
              </w:rPr>
            </w:pPr>
          </w:p>
          <w:p w14:paraId="7A2B1C8C" w14:textId="77777777" w:rsidR="00A4442B" w:rsidRPr="00220468" w:rsidRDefault="00A4442B" w:rsidP="00A803B0">
            <w:pPr>
              <w:spacing w:after="0" w:line="240" w:lineRule="auto"/>
              <w:rPr>
                <w:rFonts w:eastAsia="Times New Roman"/>
                <w:sz w:val="20"/>
                <w:szCs w:val="20"/>
                <w:lang w:val="bg-BG"/>
              </w:rPr>
            </w:pPr>
          </w:p>
          <w:p w14:paraId="43774084" w14:textId="77777777" w:rsidR="00A4442B" w:rsidRPr="00220468" w:rsidRDefault="00A4442B" w:rsidP="00A803B0">
            <w:pPr>
              <w:spacing w:after="0" w:line="240" w:lineRule="auto"/>
              <w:rPr>
                <w:rFonts w:eastAsia="Times New Roman"/>
                <w:sz w:val="20"/>
                <w:szCs w:val="20"/>
                <w:lang w:val="bg-BG"/>
              </w:rPr>
            </w:pPr>
          </w:p>
          <w:p w14:paraId="20B8641D" w14:textId="32689306" w:rsidR="00A4442B" w:rsidRPr="00220468" w:rsidRDefault="00A4442B" w:rsidP="00A803B0">
            <w:pPr>
              <w:spacing w:after="0" w:line="240" w:lineRule="auto"/>
              <w:rPr>
                <w:rFonts w:eastAsia="Times New Roman"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sz w:val="20"/>
                <w:szCs w:val="20"/>
                <w:lang w:val="bg-BG"/>
              </w:rPr>
              <w:t>Съответния представител на факултета в Работната група</w:t>
            </w:r>
            <w:r w:rsidR="002E2F68" w:rsidRPr="00220468">
              <w:rPr>
                <w:rFonts w:eastAsia="Times New Roman"/>
                <w:sz w:val="20"/>
                <w:szCs w:val="20"/>
                <w:lang w:val="bg-BG"/>
              </w:rPr>
              <w:t xml:space="preserve"> и представители на Комисия по интелектуална собственост</w:t>
            </w:r>
          </w:p>
          <w:p w14:paraId="729748BA" w14:textId="77777777" w:rsidR="00A4442B" w:rsidRPr="00220468" w:rsidRDefault="00A4442B" w:rsidP="00A803B0">
            <w:pPr>
              <w:spacing w:after="0" w:line="240" w:lineRule="auto"/>
              <w:rPr>
                <w:rFonts w:eastAsia="Times New Roman"/>
                <w:sz w:val="20"/>
                <w:szCs w:val="20"/>
                <w:lang w:val="bg-BG"/>
              </w:rPr>
            </w:pPr>
          </w:p>
          <w:p w14:paraId="1269DDBC" w14:textId="77777777" w:rsidR="00A4442B" w:rsidRPr="00220468" w:rsidRDefault="00A4442B" w:rsidP="00A803B0">
            <w:pPr>
              <w:spacing w:after="0" w:line="240" w:lineRule="auto"/>
              <w:rPr>
                <w:rFonts w:eastAsia="Times New Roman"/>
                <w:sz w:val="20"/>
                <w:szCs w:val="20"/>
                <w:lang w:val="bg-BG"/>
              </w:rPr>
            </w:pPr>
          </w:p>
          <w:p w14:paraId="5EC6D7DC" w14:textId="2D1FA654" w:rsidR="00A4442B" w:rsidRPr="00220468" w:rsidRDefault="00A4442B" w:rsidP="00A803B0">
            <w:pPr>
              <w:spacing w:after="0" w:line="240" w:lineRule="auto"/>
              <w:rPr>
                <w:rFonts w:eastAsia="Times New Roman"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sz w:val="20"/>
                <w:szCs w:val="20"/>
                <w:lang w:val="bg-BG"/>
              </w:rPr>
              <w:t>Съответния представител на факултета в Работната група</w:t>
            </w:r>
            <w:r w:rsidR="002E2F68" w:rsidRPr="00220468">
              <w:rPr>
                <w:rFonts w:eastAsia="Times New Roman"/>
                <w:sz w:val="20"/>
                <w:szCs w:val="20"/>
                <w:lang w:val="bg-BG"/>
              </w:rPr>
              <w:t xml:space="preserve"> и представители на Комисия по интелектуална собственост</w:t>
            </w:r>
          </w:p>
        </w:tc>
        <w:tc>
          <w:tcPr>
            <w:tcW w:w="1985" w:type="dxa"/>
            <w:shd w:val="clear" w:color="auto" w:fill="auto"/>
          </w:tcPr>
          <w:p w14:paraId="038B32B9" w14:textId="3F108798" w:rsidR="003121BB" w:rsidRPr="00220468" w:rsidRDefault="00A803B0" w:rsidP="003121BB">
            <w:pPr>
              <w:pStyle w:val="ListParagraph"/>
              <w:numPr>
                <w:ilvl w:val="0"/>
                <w:numId w:val="36"/>
              </w:numPr>
              <w:ind w:left="227" w:hanging="227"/>
              <w:jc w:val="left"/>
              <w:rPr>
                <w:i/>
                <w:sz w:val="20"/>
              </w:rPr>
            </w:pPr>
            <w:r w:rsidRPr="00220468">
              <w:rPr>
                <w:i/>
                <w:sz w:val="20"/>
                <w:lang w:val="bg-BG"/>
              </w:rPr>
              <w:lastRenderedPageBreak/>
              <w:t>Насоки за отговорно провеждане на изследванията и изследователска честност</w:t>
            </w:r>
            <w:r w:rsidR="003121BB" w:rsidRPr="00220468">
              <w:rPr>
                <w:i/>
                <w:sz w:val="20"/>
                <w:lang w:val="bg-BG"/>
              </w:rPr>
              <w:t>.</w:t>
            </w:r>
          </w:p>
          <w:p w14:paraId="5354D5C8" w14:textId="77777777" w:rsidR="003121BB" w:rsidRPr="00220468" w:rsidRDefault="003121BB" w:rsidP="003121BB">
            <w:pPr>
              <w:pStyle w:val="ListParagraph"/>
              <w:ind w:left="227"/>
              <w:jc w:val="left"/>
              <w:rPr>
                <w:i/>
                <w:sz w:val="20"/>
              </w:rPr>
            </w:pPr>
          </w:p>
          <w:p w14:paraId="08AB9ABE" w14:textId="648720AA" w:rsidR="003121BB" w:rsidRPr="00220468" w:rsidRDefault="003121BB" w:rsidP="003121BB">
            <w:pPr>
              <w:pStyle w:val="ListParagraph"/>
              <w:numPr>
                <w:ilvl w:val="0"/>
                <w:numId w:val="36"/>
              </w:numPr>
              <w:ind w:left="227" w:hanging="227"/>
              <w:jc w:val="left"/>
              <w:rPr>
                <w:i/>
                <w:sz w:val="20"/>
              </w:rPr>
            </w:pPr>
            <w:r w:rsidRPr="00220468">
              <w:rPr>
                <w:i/>
                <w:sz w:val="20"/>
                <w:lang w:val="bg-BG"/>
              </w:rPr>
              <w:t>Приети политики на  факултетите по отношение спазване на принципите на Етичния кодекс.</w:t>
            </w:r>
          </w:p>
          <w:p w14:paraId="38A8E6E6" w14:textId="77777777" w:rsidR="003121BB" w:rsidRPr="00220468" w:rsidRDefault="003121BB" w:rsidP="003121BB">
            <w:pPr>
              <w:pStyle w:val="ListParagraph"/>
              <w:rPr>
                <w:i/>
                <w:sz w:val="20"/>
              </w:rPr>
            </w:pPr>
          </w:p>
          <w:p w14:paraId="7A990C82" w14:textId="052E4973" w:rsidR="003121BB" w:rsidRPr="00220468" w:rsidRDefault="003121BB" w:rsidP="003121BB">
            <w:pPr>
              <w:pStyle w:val="ListParagraph"/>
              <w:numPr>
                <w:ilvl w:val="0"/>
                <w:numId w:val="36"/>
              </w:numPr>
              <w:ind w:left="227" w:hanging="227"/>
              <w:jc w:val="left"/>
              <w:rPr>
                <w:i/>
                <w:sz w:val="20"/>
              </w:rPr>
            </w:pPr>
            <w:r w:rsidRPr="00220468">
              <w:rPr>
                <w:i/>
                <w:sz w:val="20"/>
                <w:lang w:val="bg-BG"/>
              </w:rPr>
              <w:t xml:space="preserve">Проведени обучение на ниво факултети и докторантски училища на </w:t>
            </w:r>
            <w:r w:rsidRPr="00220468">
              <w:rPr>
                <w:i/>
                <w:sz w:val="20"/>
                <w:lang w:val="bg-BG"/>
              </w:rPr>
              <w:lastRenderedPageBreak/>
              <w:t>тема „Етика на научните изследвания“.</w:t>
            </w:r>
          </w:p>
          <w:p w14:paraId="1D76A5F1" w14:textId="77777777" w:rsidR="003121BB" w:rsidRPr="00220468" w:rsidRDefault="003121BB" w:rsidP="003121BB">
            <w:pPr>
              <w:pStyle w:val="ListParagraph"/>
              <w:rPr>
                <w:i/>
                <w:sz w:val="20"/>
              </w:rPr>
            </w:pPr>
          </w:p>
          <w:p w14:paraId="71195461" w14:textId="77777777" w:rsidR="003121BB" w:rsidRPr="00220468" w:rsidRDefault="003121BB" w:rsidP="003121BB">
            <w:pPr>
              <w:pStyle w:val="ListParagraph"/>
              <w:numPr>
                <w:ilvl w:val="0"/>
                <w:numId w:val="36"/>
              </w:numPr>
              <w:ind w:left="227" w:hanging="227"/>
              <w:jc w:val="left"/>
              <w:rPr>
                <w:i/>
                <w:sz w:val="20"/>
              </w:rPr>
            </w:pPr>
            <w:r w:rsidRPr="00220468">
              <w:rPr>
                <w:i/>
                <w:sz w:val="20"/>
                <w:lang w:val="bg-BG"/>
              </w:rPr>
              <w:t>Софтуер за проверка за плагиатство.</w:t>
            </w:r>
          </w:p>
          <w:p w14:paraId="2DC92CB4" w14:textId="77777777" w:rsidR="003121BB" w:rsidRPr="00220468" w:rsidRDefault="003121BB" w:rsidP="003121BB">
            <w:pPr>
              <w:pStyle w:val="ListParagraph"/>
              <w:rPr>
                <w:i/>
                <w:sz w:val="20"/>
              </w:rPr>
            </w:pPr>
          </w:p>
          <w:p w14:paraId="0D53FBFA" w14:textId="627D8368" w:rsidR="003121BB" w:rsidRPr="00220468" w:rsidRDefault="003121BB" w:rsidP="003121BB">
            <w:pPr>
              <w:pStyle w:val="ListParagraph"/>
              <w:numPr>
                <w:ilvl w:val="0"/>
                <w:numId w:val="36"/>
              </w:numPr>
              <w:ind w:left="227" w:hanging="227"/>
              <w:jc w:val="left"/>
              <w:rPr>
                <w:i/>
                <w:sz w:val="20"/>
              </w:rPr>
            </w:pPr>
            <w:r w:rsidRPr="00220468">
              <w:rPr>
                <w:i/>
                <w:sz w:val="20"/>
                <w:lang w:val="bg-BG"/>
              </w:rPr>
              <w:t xml:space="preserve">Проведени </w:t>
            </w:r>
            <w:r w:rsidR="00A4442B" w:rsidRPr="00220468">
              <w:rPr>
                <w:i/>
                <w:sz w:val="20"/>
                <w:lang w:val="bg-BG"/>
              </w:rPr>
              <w:t>обучения на докторанти по закрила на интелектуална собственост и анти-плагиатство.</w:t>
            </w:r>
          </w:p>
        </w:tc>
      </w:tr>
      <w:tr w:rsidR="00A803B0" w:rsidRPr="00220468" w14:paraId="79D0E5CA" w14:textId="77777777" w:rsidTr="008D410C">
        <w:tc>
          <w:tcPr>
            <w:tcW w:w="3681" w:type="dxa"/>
            <w:shd w:val="clear" w:color="auto" w:fill="auto"/>
          </w:tcPr>
          <w:p w14:paraId="480F88CF" w14:textId="77777777" w:rsidR="005F46A7" w:rsidRPr="00220468" w:rsidRDefault="00D33992" w:rsidP="00A4442B">
            <w:pPr>
              <w:pStyle w:val="ListParagraph"/>
              <w:numPr>
                <w:ilvl w:val="0"/>
                <w:numId w:val="37"/>
              </w:numPr>
              <w:ind w:left="227" w:hanging="227"/>
              <w:jc w:val="left"/>
              <w:rPr>
                <w:i/>
                <w:sz w:val="20"/>
              </w:rPr>
            </w:pPr>
            <w:r w:rsidRPr="00220468">
              <w:rPr>
                <w:i/>
                <w:sz w:val="20"/>
                <w:lang w:val="bg-BG"/>
              </w:rPr>
              <w:t>Разработване на указания към изследователите по въпросите на кибер-сигурността и стратегиите за осигуряване резервни копия на данни.</w:t>
            </w:r>
          </w:p>
          <w:p w14:paraId="28D860C9" w14:textId="03E05BF8" w:rsidR="007569F1" w:rsidRPr="00220468" w:rsidRDefault="007569F1" w:rsidP="00A4442B">
            <w:pPr>
              <w:pStyle w:val="ListParagraph"/>
              <w:numPr>
                <w:ilvl w:val="0"/>
                <w:numId w:val="37"/>
              </w:numPr>
              <w:ind w:left="227" w:hanging="227"/>
              <w:jc w:val="left"/>
              <w:rPr>
                <w:i/>
                <w:sz w:val="20"/>
              </w:rPr>
            </w:pPr>
            <w:r w:rsidRPr="00220468">
              <w:rPr>
                <w:i/>
                <w:sz w:val="20"/>
                <w:lang w:val="bg-BG"/>
              </w:rPr>
              <w:t>Обучение на изследователите по кибер-сигурност и защита на научните данни</w:t>
            </w:r>
            <w:r w:rsidR="00B773CE" w:rsidRPr="00220468">
              <w:rPr>
                <w:i/>
                <w:sz w:val="20"/>
                <w:lang w:val="bg-BG"/>
              </w:rPr>
              <w:t>.</w:t>
            </w:r>
          </w:p>
        </w:tc>
        <w:tc>
          <w:tcPr>
            <w:tcW w:w="1417" w:type="dxa"/>
          </w:tcPr>
          <w:p w14:paraId="14202C57" w14:textId="77777777" w:rsidR="00BC207B" w:rsidRPr="00220468" w:rsidRDefault="00BC207B" w:rsidP="00BC207B">
            <w:pPr>
              <w:pStyle w:val="ListParagraph"/>
              <w:numPr>
                <w:ilvl w:val="0"/>
                <w:numId w:val="23"/>
              </w:numPr>
              <w:jc w:val="left"/>
              <w:rPr>
                <w:sz w:val="20"/>
                <w:lang w:val="bg-BG"/>
              </w:rPr>
            </w:pPr>
            <w:r w:rsidRPr="00220468">
              <w:rPr>
                <w:sz w:val="20"/>
                <w:lang w:val="bg-BG"/>
              </w:rPr>
              <w:t>Добри практики в научните изследвания</w:t>
            </w:r>
          </w:p>
          <w:p w14:paraId="1005CC93" w14:textId="77777777" w:rsidR="005F46A7" w:rsidRPr="00220468" w:rsidDel="00AE6D51" w:rsidRDefault="005F46A7" w:rsidP="0095321E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985D6CE" w14:textId="6ABB41BA" w:rsidR="005F46A7" w:rsidRPr="00220468" w:rsidRDefault="00A4442B" w:rsidP="00A4442B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i/>
                <w:sz w:val="20"/>
                <w:szCs w:val="20"/>
                <w:lang w:val="bg-BG"/>
              </w:rPr>
              <w:t>6 месеца, юни -ноември 2020</w:t>
            </w:r>
          </w:p>
        </w:tc>
        <w:tc>
          <w:tcPr>
            <w:tcW w:w="1559" w:type="dxa"/>
            <w:shd w:val="clear" w:color="auto" w:fill="auto"/>
          </w:tcPr>
          <w:p w14:paraId="2E8E678A" w14:textId="73909A7F" w:rsidR="005F46A7" w:rsidRPr="00220468" w:rsidRDefault="007569F1" w:rsidP="007569F1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ru-RU"/>
              </w:rPr>
            </w:pPr>
            <w:r w:rsidRPr="00220468">
              <w:rPr>
                <w:rFonts w:eastAsia="Times New Roman"/>
                <w:sz w:val="20"/>
                <w:szCs w:val="20"/>
                <w:lang w:val="bg-BG"/>
              </w:rPr>
              <w:t>Работната група с помощта на ИТ експерти и зам.-ректор електронно управление</w:t>
            </w:r>
          </w:p>
        </w:tc>
        <w:tc>
          <w:tcPr>
            <w:tcW w:w="1985" w:type="dxa"/>
            <w:shd w:val="clear" w:color="auto" w:fill="auto"/>
          </w:tcPr>
          <w:p w14:paraId="4C199152" w14:textId="77777777" w:rsidR="005F46A7" w:rsidRPr="00220468" w:rsidRDefault="007569F1" w:rsidP="003A35D6">
            <w:pPr>
              <w:pStyle w:val="ListParagraph"/>
              <w:numPr>
                <w:ilvl w:val="0"/>
                <w:numId w:val="38"/>
              </w:numPr>
              <w:ind w:left="227" w:hanging="227"/>
              <w:jc w:val="left"/>
              <w:rPr>
                <w:i/>
                <w:sz w:val="20"/>
              </w:rPr>
            </w:pPr>
            <w:r w:rsidRPr="00220468">
              <w:rPr>
                <w:i/>
                <w:sz w:val="20"/>
                <w:lang w:val="bg-BG"/>
              </w:rPr>
              <w:t>Указания за кибер-сигурност и стратегии за защита на научните данни</w:t>
            </w:r>
          </w:p>
          <w:p w14:paraId="23A6CF1E" w14:textId="77777777" w:rsidR="007569F1" w:rsidRPr="00220468" w:rsidRDefault="007569F1" w:rsidP="003A35D6">
            <w:pPr>
              <w:rPr>
                <w:i/>
                <w:sz w:val="20"/>
                <w:szCs w:val="20"/>
                <w:lang w:val="ru-RU"/>
              </w:rPr>
            </w:pPr>
          </w:p>
          <w:p w14:paraId="2826F6A5" w14:textId="39136855" w:rsidR="007569F1" w:rsidRPr="00220468" w:rsidRDefault="007569F1" w:rsidP="003A35D6">
            <w:pPr>
              <w:pStyle w:val="ListParagraph"/>
              <w:numPr>
                <w:ilvl w:val="0"/>
                <w:numId w:val="39"/>
              </w:numPr>
              <w:ind w:left="227" w:hanging="227"/>
              <w:jc w:val="left"/>
              <w:rPr>
                <w:i/>
                <w:sz w:val="20"/>
                <w:lang w:val="bg-BG"/>
              </w:rPr>
            </w:pPr>
            <w:r w:rsidRPr="00220468">
              <w:rPr>
                <w:i/>
                <w:sz w:val="20"/>
                <w:lang w:val="bg-BG"/>
              </w:rPr>
              <w:t>Проведени обучения по кибер-сигурност и защита на научни данни</w:t>
            </w:r>
          </w:p>
        </w:tc>
      </w:tr>
      <w:tr w:rsidR="00A803B0" w:rsidRPr="00220468" w14:paraId="72DEBACD" w14:textId="77777777" w:rsidTr="008D410C">
        <w:tc>
          <w:tcPr>
            <w:tcW w:w="3681" w:type="dxa"/>
            <w:shd w:val="clear" w:color="auto" w:fill="auto"/>
          </w:tcPr>
          <w:p w14:paraId="1E651E59" w14:textId="341B0477" w:rsidR="00D33992" w:rsidRPr="00220468" w:rsidRDefault="00D33992" w:rsidP="00D33992">
            <w:pPr>
              <w:pStyle w:val="ListParagraph"/>
              <w:numPr>
                <w:ilvl w:val="0"/>
                <w:numId w:val="26"/>
              </w:numPr>
              <w:ind w:left="340" w:hanging="170"/>
              <w:jc w:val="left"/>
              <w:rPr>
                <w:i/>
                <w:sz w:val="20"/>
                <w:lang w:val="bg-BG"/>
              </w:rPr>
            </w:pPr>
            <w:r w:rsidRPr="00220468">
              <w:rPr>
                <w:i/>
                <w:sz w:val="20"/>
                <w:lang w:val="bg-BG"/>
              </w:rPr>
              <w:t>Преразглеждане на системата за оценяване и поддържане на качеството на обучението и научните изследвания в ТУ-София.</w:t>
            </w:r>
          </w:p>
          <w:p w14:paraId="0B870A32" w14:textId="77777777" w:rsidR="00B773CE" w:rsidRPr="00220468" w:rsidRDefault="00B773CE" w:rsidP="00B773CE">
            <w:pPr>
              <w:pStyle w:val="ListParagraph"/>
              <w:ind w:left="340"/>
              <w:jc w:val="left"/>
              <w:rPr>
                <w:i/>
                <w:sz w:val="20"/>
                <w:lang w:val="bg-BG"/>
              </w:rPr>
            </w:pPr>
          </w:p>
          <w:p w14:paraId="284A095C" w14:textId="77777777" w:rsidR="00D33992" w:rsidRPr="00220468" w:rsidRDefault="00D33992" w:rsidP="00D33992">
            <w:pPr>
              <w:pStyle w:val="ListParagraph"/>
              <w:numPr>
                <w:ilvl w:val="0"/>
                <w:numId w:val="26"/>
              </w:numPr>
              <w:ind w:left="340" w:hanging="170"/>
              <w:jc w:val="left"/>
              <w:rPr>
                <w:i/>
                <w:sz w:val="20"/>
                <w:lang w:val="bg-BG"/>
              </w:rPr>
            </w:pPr>
            <w:r w:rsidRPr="00220468">
              <w:rPr>
                <w:i/>
                <w:sz w:val="20"/>
                <w:lang w:val="bg-BG"/>
              </w:rPr>
              <w:t>Надграждане на критериите за оценка в съответствие с принципите на Хартата.</w:t>
            </w:r>
          </w:p>
          <w:p w14:paraId="5E0C6C05" w14:textId="77777777" w:rsidR="005F46A7" w:rsidRPr="00220468" w:rsidRDefault="005F46A7" w:rsidP="0095321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14:paraId="5CD8E8A4" w14:textId="77777777" w:rsidR="00BC207B" w:rsidRPr="00220468" w:rsidRDefault="00BC207B" w:rsidP="00BC207B">
            <w:pPr>
              <w:pStyle w:val="ListParagraph"/>
              <w:numPr>
                <w:ilvl w:val="0"/>
                <w:numId w:val="24"/>
              </w:numPr>
              <w:jc w:val="left"/>
              <w:rPr>
                <w:sz w:val="20"/>
                <w:lang w:val="bg-BG"/>
              </w:rPr>
            </w:pPr>
            <w:r w:rsidRPr="00220468">
              <w:rPr>
                <w:sz w:val="20"/>
                <w:lang w:val="bg-BG"/>
              </w:rPr>
              <w:t>Системи за оценка</w:t>
            </w:r>
          </w:p>
          <w:p w14:paraId="1D98DC8D" w14:textId="77777777" w:rsidR="005F46A7" w:rsidRPr="00220468" w:rsidDel="00AE6D51" w:rsidRDefault="005F46A7" w:rsidP="0095321E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C51D3CF" w14:textId="4CF3C708" w:rsidR="005F46A7" w:rsidRPr="00220468" w:rsidRDefault="00B773CE" w:rsidP="003A35D6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i/>
                <w:sz w:val="20"/>
                <w:szCs w:val="20"/>
                <w:lang w:val="bg-BG"/>
              </w:rPr>
              <w:t>1</w:t>
            </w:r>
            <w:r w:rsidR="003A35D6" w:rsidRPr="00220468">
              <w:rPr>
                <w:rFonts w:eastAsia="Times New Roman"/>
                <w:i/>
                <w:sz w:val="20"/>
                <w:szCs w:val="20"/>
                <w:lang w:val="bg-BG"/>
              </w:rPr>
              <w:t>,5 година, юни 2020 -септември 2021</w:t>
            </w:r>
          </w:p>
        </w:tc>
        <w:tc>
          <w:tcPr>
            <w:tcW w:w="1559" w:type="dxa"/>
            <w:shd w:val="clear" w:color="auto" w:fill="auto"/>
          </w:tcPr>
          <w:p w14:paraId="3A3763B9" w14:textId="4EA468A3" w:rsidR="005F46A7" w:rsidRPr="00220468" w:rsidRDefault="00B773CE" w:rsidP="00B773CE">
            <w:pPr>
              <w:spacing w:after="0" w:line="240" w:lineRule="auto"/>
              <w:rPr>
                <w:rFonts w:eastAsia="Times New Roman"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sz w:val="20"/>
                <w:szCs w:val="20"/>
                <w:lang w:val="bg-BG"/>
              </w:rPr>
              <w:t xml:space="preserve">Комисия за контрол на качеството и АС </w:t>
            </w:r>
          </w:p>
        </w:tc>
        <w:tc>
          <w:tcPr>
            <w:tcW w:w="1985" w:type="dxa"/>
            <w:shd w:val="clear" w:color="auto" w:fill="auto"/>
          </w:tcPr>
          <w:p w14:paraId="66AA214E" w14:textId="1BAC4470" w:rsidR="003A35D6" w:rsidRPr="00220468" w:rsidRDefault="003A35D6" w:rsidP="003A35D6">
            <w:pPr>
              <w:pStyle w:val="ListParagraph"/>
              <w:numPr>
                <w:ilvl w:val="0"/>
                <w:numId w:val="40"/>
              </w:numPr>
              <w:ind w:left="227" w:hanging="227"/>
              <w:jc w:val="left"/>
              <w:rPr>
                <w:i/>
                <w:color w:val="000000" w:themeColor="text1"/>
                <w:sz w:val="20"/>
                <w:lang w:val="bg-BG"/>
              </w:rPr>
            </w:pPr>
            <w:r w:rsidRPr="00220468">
              <w:rPr>
                <w:i/>
                <w:sz w:val="20"/>
                <w:lang w:val="bg-BG"/>
              </w:rPr>
              <w:t xml:space="preserve">Обновен вариант на </w:t>
            </w:r>
            <w:r w:rsidRPr="00220468">
              <w:rPr>
                <w:i/>
                <w:color w:val="000000" w:themeColor="text1"/>
                <w:sz w:val="20"/>
                <w:lang w:val="bg-BG"/>
              </w:rPr>
              <w:t>Системата за оценяване и поддържане на качеството на обучението и научните изследвания в ТУ-София, наречена СОПКОНИ (SOPKONI) в съответствие с принципите на Хартата.</w:t>
            </w:r>
          </w:p>
          <w:p w14:paraId="79F97A88" w14:textId="181769D9" w:rsidR="005F46A7" w:rsidRPr="00220468" w:rsidRDefault="005F46A7" w:rsidP="0095321E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bg-BG"/>
              </w:rPr>
            </w:pPr>
          </w:p>
        </w:tc>
      </w:tr>
      <w:tr w:rsidR="00144875" w:rsidRPr="00220468" w14:paraId="32FDE8E2" w14:textId="77777777" w:rsidTr="00FA4A23">
        <w:tc>
          <w:tcPr>
            <w:tcW w:w="9918" w:type="dxa"/>
            <w:gridSpan w:val="5"/>
            <w:shd w:val="clear" w:color="auto" w:fill="D9D9D9" w:themeFill="background1" w:themeFillShade="D9"/>
          </w:tcPr>
          <w:p w14:paraId="6C5C7B95" w14:textId="44667D0F" w:rsidR="00144875" w:rsidRPr="00220468" w:rsidRDefault="00144875" w:rsidP="00144875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ru-RU"/>
              </w:rPr>
            </w:pPr>
            <w:r w:rsidRPr="00220468">
              <w:rPr>
                <w:rFonts w:asciiTheme="minorHAnsi" w:hAnsiTheme="minorHAnsi" w:cstheme="minorHAnsi"/>
                <w:b/>
                <w:sz w:val="20"/>
                <w:szCs w:val="20"/>
                <w:lang w:val="bg-BG"/>
              </w:rPr>
              <w:lastRenderedPageBreak/>
              <w:t>Набиране и подбор на персонал</w:t>
            </w:r>
          </w:p>
        </w:tc>
      </w:tr>
      <w:tr w:rsidR="00144875" w:rsidRPr="00220468" w14:paraId="37890F5D" w14:textId="77777777" w:rsidTr="008D410C">
        <w:tc>
          <w:tcPr>
            <w:tcW w:w="3681" w:type="dxa"/>
            <w:shd w:val="clear" w:color="auto" w:fill="auto"/>
          </w:tcPr>
          <w:p w14:paraId="7B16C682" w14:textId="4791742C" w:rsidR="00E2576C" w:rsidRPr="00220468" w:rsidRDefault="00E2576C" w:rsidP="00A15D95">
            <w:pPr>
              <w:pStyle w:val="ListParagraph"/>
              <w:numPr>
                <w:ilvl w:val="0"/>
                <w:numId w:val="27"/>
              </w:numPr>
              <w:spacing w:after="120"/>
              <w:ind w:left="294" w:hanging="141"/>
              <w:jc w:val="left"/>
              <w:rPr>
                <w:i/>
                <w:sz w:val="20"/>
                <w:lang w:val="bg-BG"/>
              </w:rPr>
            </w:pPr>
            <w:r w:rsidRPr="00220468">
              <w:rPr>
                <w:i/>
                <w:sz w:val="20"/>
                <w:lang w:val="bg-BG"/>
              </w:rPr>
              <w:t>Въвеждане на ясни критерии и правила, свързани с подбора при академичната длъжност асистент, така че да процедурата за подбор и назначаване да стане по-ясна и прозрачна за кандидатите.</w:t>
            </w:r>
          </w:p>
          <w:p w14:paraId="32228471" w14:textId="77777777" w:rsidR="00A15D95" w:rsidRPr="00220468" w:rsidRDefault="00A15D95" w:rsidP="00A15D95">
            <w:pPr>
              <w:pStyle w:val="ListParagraph"/>
              <w:spacing w:after="120"/>
              <w:ind w:left="294"/>
              <w:jc w:val="left"/>
              <w:rPr>
                <w:i/>
                <w:sz w:val="20"/>
                <w:lang w:val="bg-BG"/>
              </w:rPr>
            </w:pPr>
          </w:p>
          <w:p w14:paraId="0F94E719" w14:textId="77777777" w:rsidR="00A15D95" w:rsidRPr="00220468" w:rsidRDefault="00E2576C" w:rsidP="00A15D95">
            <w:pPr>
              <w:pStyle w:val="ListParagraph"/>
              <w:numPr>
                <w:ilvl w:val="0"/>
                <w:numId w:val="27"/>
              </w:numPr>
              <w:spacing w:after="120"/>
              <w:ind w:left="294" w:hanging="141"/>
              <w:jc w:val="left"/>
              <w:rPr>
                <w:i/>
                <w:sz w:val="20"/>
                <w:lang w:val="bg-BG"/>
              </w:rPr>
            </w:pPr>
            <w:r w:rsidRPr="00220468">
              <w:rPr>
                <w:i/>
                <w:sz w:val="20"/>
                <w:lang w:val="bg-BG"/>
              </w:rPr>
              <w:t>Подобряване на съществуващата процедура по места (на ниво факултети) за осигуряване на адекватна обратна връзка с всички кандидати.</w:t>
            </w:r>
          </w:p>
          <w:p w14:paraId="72754AE1" w14:textId="77777777" w:rsidR="00A15D95" w:rsidRPr="00220468" w:rsidRDefault="00A15D95" w:rsidP="00A15D95">
            <w:pPr>
              <w:pStyle w:val="ListParagraph"/>
              <w:spacing w:after="120"/>
              <w:rPr>
                <w:i/>
                <w:sz w:val="20"/>
                <w:lang w:val="bg-BG"/>
              </w:rPr>
            </w:pPr>
          </w:p>
          <w:p w14:paraId="04911AD1" w14:textId="271C9BE2" w:rsidR="00E2576C" w:rsidRPr="00220468" w:rsidRDefault="00E2576C" w:rsidP="00A15D95">
            <w:pPr>
              <w:pStyle w:val="ListParagraph"/>
              <w:numPr>
                <w:ilvl w:val="0"/>
                <w:numId w:val="27"/>
              </w:numPr>
              <w:spacing w:after="120"/>
              <w:ind w:left="294" w:hanging="141"/>
              <w:jc w:val="left"/>
              <w:rPr>
                <w:i/>
                <w:sz w:val="20"/>
                <w:lang w:val="bg-BG"/>
              </w:rPr>
            </w:pPr>
            <w:r w:rsidRPr="00220468">
              <w:rPr>
                <w:i/>
                <w:sz w:val="20"/>
                <w:lang w:val="bg-BG"/>
              </w:rPr>
              <w:t>Изменения в съответствие с Хартата и Кодекса в:</w:t>
            </w:r>
          </w:p>
          <w:p w14:paraId="4DBE8005" w14:textId="77777777" w:rsidR="00E2576C" w:rsidRPr="00220468" w:rsidRDefault="00E2576C" w:rsidP="00A15D95">
            <w:pPr>
              <w:spacing w:after="120" w:line="240" w:lineRule="auto"/>
              <w:ind w:left="294"/>
              <w:contextualSpacing/>
              <w:jc w:val="both"/>
              <w:rPr>
                <w:rFonts w:eastAsia="Times New Roman"/>
                <w:i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i/>
                <w:sz w:val="20"/>
                <w:szCs w:val="20"/>
                <w:lang w:val="bg-BG"/>
              </w:rPr>
              <w:t>1) Правилник за устройството и дейността на ТУ-София;</w:t>
            </w:r>
          </w:p>
          <w:p w14:paraId="20420D38" w14:textId="64A3F79F" w:rsidR="00E2576C" w:rsidRPr="00220468" w:rsidRDefault="00E2576C" w:rsidP="00A15D95">
            <w:pPr>
              <w:spacing w:after="120" w:line="240" w:lineRule="auto"/>
              <w:ind w:left="294"/>
              <w:contextualSpacing/>
              <w:jc w:val="both"/>
              <w:rPr>
                <w:rFonts w:eastAsia="Times New Roman"/>
                <w:i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i/>
                <w:sz w:val="20"/>
                <w:szCs w:val="20"/>
                <w:lang w:val="bg-BG"/>
              </w:rPr>
              <w:t>2) Правилник за условията и реда за заемане на академични длъжности в ТУ-София.</w:t>
            </w:r>
          </w:p>
          <w:p w14:paraId="015F8933" w14:textId="77777777" w:rsidR="00A15D95" w:rsidRPr="00220468" w:rsidRDefault="00A15D95" w:rsidP="00A15D95">
            <w:pPr>
              <w:spacing w:after="120" w:line="240" w:lineRule="auto"/>
              <w:ind w:left="294"/>
              <w:contextualSpacing/>
              <w:jc w:val="both"/>
              <w:rPr>
                <w:rFonts w:eastAsia="Times New Roman"/>
                <w:i/>
                <w:sz w:val="20"/>
                <w:szCs w:val="20"/>
                <w:lang w:val="bg-BG"/>
              </w:rPr>
            </w:pPr>
          </w:p>
          <w:p w14:paraId="7C30FCB5" w14:textId="77777777" w:rsidR="00A15D95" w:rsidRPr="00220468" w:rsidRDefault="00A15D95" w:rsidP="00A15D95">
            <w:pPr>
              <w:pStyle w:val="ListParagraph"/>
              <w:numPr>
                <w:ilvl w:val="0"/>
                <w:numId w:val="42"/>
              </w:numPr>
              <w:spacing w:after="120"/>
              <w:ind w:left="227" w:hanging="227"/>
              <w:rPr>
                <w:i/>
                <w:sz w:val="20"/>
                <w:lang w:val="bg-BG"/>
              </w:rPr>
            </w:pPr>
            <w:r w:rsidRPr="00220468">
              <w:rPr>
                <w:i/>
                <w:sz w:val="20"/>
                <w:lang w:val="bg-BG"/>
              </w:rPr>
              <w:t>И</w:t>
            </w:r>
            <w:r w:rsidR="00E2576C" w:rsidRPr="00220468">
              <w:rPr>
                <w:i/>
                <w:sz w:val="20"/>
                <w:lang w:val="bg-BG"/>
              </w:rPr>
              <w:t>зменения във вътрешните разпоредби в съответствие с Хартата и Кодекса.</w:t>
            </w:r>
          </w:p>
          <w:p w14:paraId="0501C23F" w14:textId="77777777" w:rsidR="00A15D95" w:rsidRPr="00220468" w:rsidRDefault="00A15D95" w:rsidP="00A15D95">
            <w:pPr>
              <w:pStyle w:val="ListParagraph"/>
              <w:spacing w:after="120"/>
              <w:ind w:left="227"/>
              <w:rPr>
                <w:i/>
                <w:sz w:val="20"/>
                <w:lang w:val="bg-BG"/>
              </w:rPr>
            </w:pPr>
          </w:p>
          <w:p w14:paraId="3A7B5564" w14:textId="0AFF7395" w:rsidR="001C6D80" w:rsidRPr="00220468" w:rsidRDefault="001C6D80" w:rsidP="00A15D95">
            <w:pPr>
              <w:pStyle w:val="ListParagraph"/>
              <w:numPr>
                <w:ilvl w:val="0"/>
                <w:numId w:val="42"/>
              </w:numPr>
              <w:spacing w:after="120"/>
              <w:ind w:left="227" w:hanging="227"/>
              <w:jc w:val="left"/>
              <w:rPr>
                <w:i/>
                <w:sz w:val="20"/>
                <w:lang w:val="bg-BG"/>
              </w:rPr>
            </w:pPr>
            <w:r w:rsidRPr="00220468">
              <w:rPr>
                <w:i/>
                <w:sz w:val="20"/>
                <w:lang w:val="bg-BG"/>
              </w:rPr>
              <w:t>Преработка на Правилника за условията и процедурите за заемане на академични длъжности в ТУ-София, изменен последно на 13 юни 2019 г. в съответствие с принципите на Хартата и Кодекса.</w:t>
            </w:r>
          </w:p>
          <w:p w14:paraId="4A013A58" w14:textId="4ADCE350" w:rsidR="00E2576C" w:rsidRPr="00220468" w:rsidRDefault="00E2576C" w:rsidP="00A15D95">
            <w:pPr>
              <w:pStyle w:val="ListParagraph"/>
              <w:spacing w:after="120"/>
              <w:ind w:left="360"/>
              <w:jc w:val="left"/>
              <w:rPr>
                <w:i/>
                <w:sz w:val="20"/>
                <w:lang w:val="bg-BG"/>
              </w:rPr>
            </w:pPr>
          </w:p>
        </w:tc>
        <w:tc>
          <w:tcPr>
            <w:tcW w:w="1417" w:type="dxa"/>
          </w:tcPr>
          <w:p w14:paraId="47187041" w14:textId="03F726F5" w:rsidR="00144875" w:rsidRPr="00220468" w:rsidRDefault="00144875" w:rsidP="00144875">
            <w:pPr>
              <w:pStyle w:val="ListParagraph"/>
              <w:numPr>
                <w:ilvl w:val="0"/>
                <w:numId w:val="24"/>
              </w:numPr>
              <w:rPr>
                <w:sz w:val="20"/>
                <w:lang w:val="bg-BG"/>
              </w:rPr>
            </w:pPr>
            <w:r w:rsidRPr="00220468">
              <w:rPr>
                <w:sz w:val="20"/>
                <w:lang w:val="bg-BG"/>
              </w:rPr>
              <w:t>Наемане на работа</w:t>
            </w:r>
          </w:p>
          <w:p w14:paraId="3B9E29A5" w14:textId="77777777" w:rsidR="00144875" w:rsidRPr="00220468" w:rsidRDefault="00144875" w:rsidP="00144875">
            <w:pPr>
              <w:pStyle w:val="ListParagraph"/>
              <w:ind w:left="360"/>
              <w:rPr>
                <w:sz w:val="20"/>
                <w:lang w:val="bg-BG"/>
              </w:rPr>
            </w:pPr>
          </w:p>
          <w:p w14:paraId="4A22965D" w14:textId="1F21EA6B" w:rsidR="00144875" w:rsidRPr="00220468" w:rsidRDefault="00144875" w:rsidP="00144875">
            <w:pPr>
              <w:rPr>
                <w:sz w:val="20"/>
                <w:szCs w:val="20"/>
                <w:lang w:val="bg-BG"/>
              </w:rPr>
            </w:pPr>
            <w:r w:rsidRPr="00220468">
              <w:rPr>
                <w:sz w:val="20"/>
                <w:szCs w:val="20"/>
                <w:lang w:val="bg-BG"/>
              </w:rPr>
              <w:t>15. Прозрачност (Кодекс)</w:t>
            </w:r>
          </w:p>
          <w:p w14:paraId="434D7EF4" w14:textId="7EF2A859" w:rsidR="00144875" w:rsidRPr="00220468" w:rsidRDefault="00144875" w:rsidP="00144875">
            <w:pPr>
              <w:pStyle w:val="ListParagraph"/>
              <w:numPr>
                <w:ilvl w:val="0"/>
                <w:numId w:val="29"/>
              </w:numPr>
              <w:rPr>
                <w:sz w:val="20"/>
                <w:lang w:val="bg-BG"/>
              </w:rPr>
            </w:pPr>
            <w:r w:rsidRPr="00220468">
              <w:rPr>
                <w:sz w:val="20"/>
                <w:lang w:val="bg-BG"/>
              </w:rPr>
              <w:t>Критерии за оценка (Кодекс)</w:t>
            </w:r>
          </w:p>
          <w:p w14:paraId="646819AF" w14:textId="77777777" w:rsidR="00144875" w:rsidRPr="00220468" w:rsidRDefault="00144875" w:rsidP="00144875">
            <w:pPr>
              <w:pStyle w:val="ListParagraph"/>
              <w:ind w:left="360"/>
              <w:rPr>
                <w:sz w:val="20"/>
                <w:lang w:val="bg-BG"/>
              </w:rPr>
            </w:pPr>
          </w:p>
          <w:p w14:paraId="2638BD2A" w14:textId="3E116822" w:rsidR="00E2576C" w:rsidRPr="00220468" w:rsidRDefault="00E2576C" w:rsidP="00E2576C">
            <w:pPr>
              <w:rPr>
                <w:sz w:val="20"/>
                <w:szCs w:val="20"/>
                <w:lang w:val="bg-BG"/>
              </w:rPr>
            </w:pPr>
            <w:r w:rsidRPr="00220468">
              <w:rPr>
                <w:sz w:val="20"/>
                <w:szCs w:val="20"/>
                <w:lang w:val="bg-BG"/>
              </w:rPr>
              <w:t>18.  Признаване на опита от мобилност (Кодекс)</w:t>
            </w:r>
          </w:p>
          <w:p w14:paraId="3E31F05C" w14:textId="652D14C5" w:rsidR="00E2576C" w:rsidRPr="00220468" w:rsidRDefault="00E2576C" w:rsidP="00E2576C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  <w:sz w:val="20"/>
                <w:lang w:val="bg-BG"/>
              </w:rPr>
            </w:pPr>
            <w:r w:rsidRPr="00220468">
              <w:rPr>
                <w:rFonts w:asciiTheme="minorHAnsi" w:hAnsiTheme="minorHAnsi"/>
                <w:sz w:val="20"/>
                <w:lang w:val="bg-BG"/>
              </w:rPr>
              <w:t>Признаване на квалификациите (Кодекс)</w:t>
            </w:r>
          </w:p>
          <w:p w14:paraId="0D82BCCF" w14:textId="5F4B717D" w:rsidR="00A15D95" w:rsidRPr="00220468" w:rsidRDefault="00A15D95" w:rsidP="00A15D95">
            <w:pPr>
              <w:pStyle w:val="ListParagraph"/>
              <w:ind w:left="360"/>
              <w:rPr>
                <w:rFonts w:asciiTheme="minorHAnsi" w:hAnsiTheme="minorHAnsi"/>
                <w:sz w:val="20"/>
                <w:lang w:val="bg-BG"/>
              </w:rPr>
            </w:pPr>
          </w:p>
          <w:p w14:paraId="6C4DBE0C" w14:textId="77777777" w:rsidR="00A15D95" w:rsidRPr="00220468" w:rsidRDefault="00A15D95" w:rsidP="00A15D95">
            <w:pPr>
              <w:pStyle w:val="ListParagraph"/>
              <w:ind w:left="360"/>
              <w:rPr>
                <w:rFonts w:asciiTheme="minorHAnsi" w:hAnsiTheme="minorHAnsi"/>
                <w:sz w:val="20"/>
                <w:lang w:val="bg-BG"/>
              </w:rPr>
            </w:pPr>
          </w:p>
          <w:p w14:paraId="238F17C4" w14:textId="77777777" w:rsidR="001C6D80" w:rsidRPr="00220468" w:rsidRDefault="001C6D80" w:rsidP="001C6D8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bg-BG"/>
              </w:rPr>
            </w:pPr>
            <w:r w:rsidRPr="00220468">
              <w:rPr>
                <w:rFonts w:asciiTheme="minorHAnsi" w:eastAsia="Times New Roman" w:hAnsiTheme="minorHAnsi" w:cstheme="minorHAnsi"/>
                <w:sz w:val="20"/>
                <w:szCs w:val="20"/>
                <w:lang w:val="bg-BG"/>
              </w:rPr>
              <w:t>29. Оценяване на мобилността</w:t>
            </w:r>
          </w:p>
          <w:p w14:paraId="2C2827B9" w14:textId="77777777" w:rsidR="00144875" w:rsidRPr="00220468" w:rsidRDefault="00144875" w:rsidP="00E2576C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398D7E0" w14:textId="77777777" w:rsidR="00144875" w:rsidRPr="00220468" w:rsidRDefault="00A15D95" w:rsidP="00A15D95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i/>
                <w:sz w:val="20"/>
                <w:szCs w:val="20"/>
                <w:lang w:val="bg-BG"/>
              </w:rPr>
              <w:t>2 години, септември 2020 – август 2022</w:t>
            </w:r>
          </w:p>
          <w:p w14:paraId="1B88B150" w14:textId="66D7E5D4" w:rsidR="00A15D95" w:rsidRPr="00220468" w:rsidRDefault="00A15D95" w:rsidP="0095321E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1559" w:type="dxa"/>
            <w:shd w:val="clear" w:color="auto" w:fill="auto"/>
          </w:tcPr>
          <w:p w14:paraId="291D6E81" w14:textId="18DA241C" w:rsidR="00A15D95" w:rsidRPr="00220468" w:rsidRDefault="00A15D95" w:rsidP="00267D74">
            <w:pPr>
              <w:spacing w:after="0" w:line="240" w:lineRule="auto"/>
              <w:rPr>
                <w:rFonts w:eastAsia="Times New Roman"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sz w:val="20"/>
                <w:szCs w:val="20"/>
                <w:lang w:val="bg-BG"/>
              </w:rPr>
              <w:t>Зам.-ректор академичен състав и координация,</w:t>
            </w:r>
          </w:p>
          <w:p w14:paraId="6606FA04" w14:textId="32428011" w:rsidR="00144875" w:rsidRPr="00220468" w:rsidRDefault="00A15D95" w:rsidP="00267D74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</w:rPr>
            </w:pPr>
            <w:r w:rsidRPr="00220468">
              <w:rPr>
                <w:rFonts w:eastAsia="Times New Roman"/>
                <w:sz w:val="20"/>
                <w:szCs w:val="20"/>
                <w:lang w:val="bg-BG"/>
              </w:rPr>
              <w:t>Работната група и юристи</w:t>
            </w:r>
          </w:p>
        </w:tc>
        <w:tc>
          <w:tcPr>
            <w:tcW w:w="1985" w:type="dxa"/>
            <w:shd w:val="clear" w:color="auto" w:fill="auto"/>
          </w:tcPr>
          <w:p w14:paraId="26709D4C" w14:textId="1EB62AE0" w:rsidR="00144875" w:rsidRPr="00220468" w:rsidRDefault="00A15D95" w:rsidP="00E2576C">
            <w:pPr>
              <w:pStyle w:val="ListParagraph"/>
              <w:numPr>
                <w:ilvl w:val="0"/>
                <w:numId w:val="27"/>
              </w:numPr>
              <w:ind w:left="294" w:hanging="141"/>
              <w:jc w:val="left"/>
              <w:rPr>
                <w:i/>
                <w:sz w:val="20"/>
              </w:rPr>
            </w:pPr>
            <w:r w:rsidRPr="00220468">
              <w:rPr>
                <w:i/>
                <w:sz w:val="20"/>
                <w:lang w:val="bg-BG"/>
              </w:rPr>
              <w:t>Ясни критерии и правила за подбор за академична длъжност асистент</w:t>
            </w:r>
            <w:r w:rsidR="00971C9F" w:rsidRPr="00220468">
              <w:rPr>
                <w:i/>
                <w:sz w:val="20"/>
                <w:lang w:val="bg-BG"/>
              </w:rPr>
              <w:t>.</w:t>
            </w:r>
          </w:p>
          <w:p w14:paraId="5E14B601" w14:textId="77777777" w:rsidR="00A15D95" w:rsidRPr="00220468" w:rsidRDefault="00A15D95" w:rsidP="00A15D95">
            <w:pPr>
              <w:pStyle w:val="ListParagraph"/>
              <w:ind w:left="294"/>
              <w:jc w:val="left"/>
              <w:rPr>
                <w:i/>
                <w:sz w:val="20"/>
              </w:rPr>
            </w:pPr>
          </w:p>
          <w:p w14:paraId="5824E10D" w14:textId="77777777" w:rsidR="00A15D95" w:rsidRPr="00220468" w:rsidRDefault="00A15D95" w:rsidP="00E2576C">
            <w:pPr>
              <w:pStyle w:val="ListParagraph"/>
              <w:numPr>
                <w:ilvl w:val="0"/>
                <w:numId w:val="27"/>
              </w:numPr>
              <w:ind w:left="294" w:hanging="141"/>
              <w:jc w:val="left"/>
              <w:rPr>
                <w:i/>
                <w:sz w:val="20"/>
              </w:rPr>
            </w:pPr>
            <w:r w:rsidRPr="00220468">
              <w:rPr>
                <w:i/>
                <w:sz w:val="20"/>
                <w:lang w:val="bg-BG"/>
              </w:rPr>
              <w:t xml:space="preserve">Процедура за информиране на </w:t>
            </w:r>
            <w:r w:rsidR="00971C9F" w:rsidRPr="00220468">
              <w:rPr>
                <w:i/>
                <w:sz w:val="20"/>
                <w:lang w:val="bg-BG"/>
              </w:rPr>
              <w:t xml:space="preserve">кандидатите за </w:t>
            </w:r>
            <w:r w:rsidRPr="00220468">
              <w:rPr>
                <w:i/>
                <w:sz w:val="20"/>
                <w:lang w:val="bg-BG"/>
              </w:rPr>
              <w:t xml:space="preserve">резултата и </w:t>
            </w:r>
            <w:r w:rsidR="00971C9F" w:rsidRPr="00220468">
              <w:rPr>
                <w:i/>
                <w:sz w:val="20"/>
                <w:lang w:val="bg-BG"/>
              </w:rPr>
              <w:t xml:space="preserve">за </w:t>
            </w:r>
            <w:r w:rsidRPr="00220468">
              <w:rPr>
                <w:i/>
                <w:sz w:val="20"/>
                <w:lang w:val="bg-BG"/>
              </w:rPr>
              <w:t>силените и слаби</w:t>
            </w:r>
            <w:r w:rsidR="00971C9F" w:rsidRPr="00220468">
              <w:rPr>
                <w:i/>
                <w:sz w:val="20"/>
                <w:lang w:val="bg-BG"/>
              </w:rPr>
              <w:t>те</w:t>
            </w:r>
            <w:r w:rsidRPr="00220468">
              <w:rPr>
                <w:i/>
                <w:sz w:val="20"/>
                <w:lang w:val="bg-BG"/>
              </w:rPr>
              <w:t xml:space="preserve"> страни на тяхната кандидатура.</w:t>
            </w:r>
          </w:p>
          <w:p w14:paraId="5F92877F" w14:textId="77777777" w:rsidR="00971C9F" w:rsidRPr="00220468" w:rsidRDefault="00971C9F" w:rsidP="00971C9F">
            <w:pPr>
              <w:pStyle w:val="ListParagraph"/>
              <w:rPr>
                <w:i/>
                <w:sz w:val="20"/>
              </w:rPr>
            </w:pPr>
          </w:p>
          <w:p w14:paraId="7F081C59" w14:textId="70FB38FC" w:rsidR="00971C9F" w:rsidRPr="00220468" w:rsidRDefault="00971C9F" w:rsidP="00971C9F">
            <w:pPr>
              <w:pStyle w:val="ListParagraph"/>
              <w:numPr>
                <w:ilvl w:val="0"/>
                <w:numId w:val="27"/>
              </w:numPr>
              <w:ind w:left="227" w:hanging="227"/>
              <w:jc w:val="left"/>
              <w:rPr>
                <w:i/>
                <w:sz w:val="20"/>
              </w:rPr>
            </w:pPr>
            <w:r w:rsidRPr="00220468">
              <w:rPr>
                <w:i/>
                <w:sz w:val="20"/>
                <w:lang w:val="bg-BG"/>
              </w:rPr>
              <w:t>Подобрен Правилник за устройството и дейността на ТУ-София.</w:t>
            </w:r>
          </w:p>
          <w:p w14:paraId="65B3E88A" w14:textId="77777777" w:rsidR="00971C9F" w:rsidRPr="00220468" w:rsidRDefault="00971C9F" w:rsidP="00971C9F">
            <w:pPr>
              <w:pStyle w:val="ListParagraph"/>
              <w:ind w:left="227" w:hanging="227"/>
              <w:rPr>
                <w:i/>
                <w:sz w:val="20"/>
              </w:rPr>
            </w:pPr>
          </w:p>
          <w:p w14:paraId="711F6D71" w14:textId="77777777" w:rsidR="00971C9F" w:rsidRPr="00220468" w:rsidRDefault="00971C9F" w:rsidP="00971C9F">
            <w:pPr>
              <w:pStyle w:val="ListParagraph"/>
              <w:numPr>
                <w:ilvl w:val="0"/>
                <w:numId w:val="27"/>
              </w:numPr>
              <w:ind w:left="227" w:hanging="227"/>
              <w:jc w:val="left"/>
              <w:rPr>
                <w:i/>
                <w:sz w:val="20"/>
              </w:rPr>
            </w:pPr>
            <w:r w:rsidRPr="00220468">
              <w:rPr>
                <w:i/>
                <w:sz w:val="20"/>
                <w:lang w:val="bg-BG"/>
              </w:rPr>
              <w:t>Подобрен Правилник за условията и реда за заемане на академични длъжности в ТУ-София.</w:t>
            </w:r>
          </w:p>
          <w:p w14:paraId="77868B34" w14:textId="77777777" w:rsidR="00971C9F" w:rsidRPr="00220468" w:rsidRDefault="00971C9F" w:rsidP="00971C9F">
            <w:pPr>
              <w:pStyle w:val="ListParagraph"/>
              <w:rPr>
                <w:i/>
                <w:sz w:val="20"/>
              </w:rPr>
            </w:pPr>
          </w:p>
          <w:p w14:paraId="34B24EE2" w14:textId="00AC65BE" w:rsidR="00971C9F" w:rsidRPr="00220468" w:rsidRDefault="00971C9F" w:rsidP="00971C9F">
            <w:pPr>
              <w:pStyle w:val="ListParagraph"/>
              <w:numPr>
                <w:ilvl w:val="0"/>
                <w:numId w:val="27"/>
              </w:numPr>
              <w:ind w:left="227" w:hanging="227"/>
              <w:jc w:val="left"/>
              <w:rPr>
                <w:i/>
                <w:sz w:val="20"/>
              </w:rPr>
            </w:pPr>
            <w:r w:rsidRPr="00220468">
              <w:rPr>
                <w:i/>
                <w:sz w:val="20"/>
                <w:lang w:val="bg-BG"/>
              </w:rPr>
              <w:t>Променени вътрешни разпоредби в съответствие с Хартата и Кодекса.</w:t>
            </w:r>
          </w:p>
        </w:tc>
      </w:tr>
      <w:tr w:rsidR="00144875" w:rsidRPr="00220468" w14:paraId="5FDDED3A" w14:textId="77777777" w:rsidTr="008D410C">
        <w:tc>
          <w:tcPr>
            <w:tcW w:w="3681" w:type="dxa"/>
            <w:shd w:val="clear" w:color="auto" w:fill="auto"/>
          </w:tcPr>
          <w:p w14:paraId="3BDAA6AB" w14:textId="6E75AD91" w:rsidR="00971C9F" w:rsidRPr="00220468" w:rsidRDefault="00971C9F" w:rsidP="00971C9F">
            <w:pPr>
              <w:pStyle w:val="ListParagraph"/>
              <w:numPr>
                <w:ilvl w:val="0"/>
                <w:numId w:val="31"/>
              </w:numPr>
              <w:spacing w:after="120"/>
              <w:ind w:left="284" w:hanging="284"/>
              <w:contextualSpacing w:val="0"/>
              <w:jc w:val="left"/>
              <w:rPr>
                <w:i/>
                <w:sz w:val="20"/>
                <w:lang w:val="bg-BG"/>
              </w:rPr>
            </w:pPr>
            <w:r w:rsidRPr="00220468">
              <w:rPr>
                <w:i/>
                <w:sz w:val="20"/>
                <w:lang w:val="bg-BG"/>
              </w:rPr>
              <w:t>Подобряване</w:t>
            </w:r>
            <w:r w:rsidR="00E2576C" w:rsidRPr="00220468">
              <w:rPr>
                <w:i/>
                <w:sz w:val="20"/>
                <w:lang w:val="bg-BG"/>
              </w:rPr>
              <w:t xml:space="preserve"> на Кодекса за условията и процедурите за заемане на академични длъжности в ТУ-София.</w:t>
            </w:r>
          </w:p>
          <w:p w14:paraId="4F440CB2" w14:textId="234FA212" w:rsidR="00144875" w:rsidRPr="00220468" w:rsidRDefault="00971C9F" w:rsidP="00971C9F">
            <w:pPr>
              <w:pStyle w:val="ListParagraph"/>
              <w:numPr>
                <w:ilvl w:val="0"/>
                <w:numId w:val="31"/>
              </w:numPr>
              <w:spacing w:after="120"/>
              <w:ind w:left="284" w:hanging="284"/>
              <w:contextualSpacing w:val="0"/>
              <w:jc w:val="left"/>
              <w:rPr>
                <w:sz w:val="20"/>
                <w:lang w:val="bg-BG"/>
              </w:rPr>
            </w:pPr>
            <w:r w:rsidRPr="00220468">
              <w:rPr>
                <w:i/>
                <w:sz w:val="20"/>
                <w:lang w:val="bg-BG"/>
              </w:rPr>
              <w:t>О</w:t>
            </w:r>
            <w:r w:rsidR="00E2576C" w:rsidRPr="00220468">
              <w:rPr>
                <w:i/>
                <w:sz w:val="20"/>
                <w:lang w:val="bg-BG"/>
              </w:rPr>
              <w:t>тваряне на пост-докторантски позиции.</w:t>
            </w:r>
          </w:p>
        </w:tc>
        <w:tc>
          <w:tcPr>
            <w:tcW w:w="1417" w:type="dxa"/>
          </w:tcPr>
          <w:p w14:paraId="7FA74967" w14:textId="77777777" w:rsidR="00E2576C" w:rsidRPr="00220468" w:rsidRDefault="00E2576C" w:rsidP="00E2576C">
            <w:pPr>
              <w:spacing w:after="0" w:line="240" w:lineRule="auto"/>
              <w:rPr>
                <w:rFonts w:eastAsia="Times New Roman"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sz w:val="20"/>
                <w:szCs w:val="20"/>
                <w:lang w:val="bg-BG"/>
              </w:rPr>
              <w:t>21.Назначаване на пост-докторанти (Кодекс)</w:t>
            </w:r>
          </w:p>
          <w:p w14:paraId="00A7E282" w14:textId="77777777" w:rsidR="00144875" w:rsidRPr="00220468" w:rsidRDefault="00144875" w:rsidP="0095321E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5B5FD43C" w14:textId="77777777" w:rsidR="00971C9F" w:rsidRPr="00220468" w:rsidRDefault="00971C9F" w:rsidP="00971C9F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i/>
                <w:sz w:val="20"/>
                <w:szCs w:val="20"/>
                <w:lang w:val="bg-BG"/>
              </w:rPr>
              <w:t>2 години, септември 2020 – август 2022</w:t>
            </w:r>
          </w:p>
          <w:p w14:paraId="43A94089" w14:textId="77777777" w:rsidR="00144875" w:rsidRPr="00220468" w:rsidRDefault="00144875" w:rsidP="0095321E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F1DA129" w14:textId="17326F08" w:rsidR="00144875" w:rsidRPr="00220468" w:rsidRDefault="00971C9F" w:rsidP="00971C9F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ru-RU"/>
              </w:rPr>
            </w:pPr>
            <w:r w:rsidRPr="00220468">
              <w:rPr>
                <w:rFonts w:eastAsia="Times New Roman"/>
                <w:sz w:val="20"/>
                <w:szCs w:val="20"/>
                <w:lang w:val="bg-BG"/>
              </w:rPr>
              <w:t>Зам.-ректор академичен състав и координация, Ректорски съвет, Академичен съвет, Общо събрание</w:t>
            </w:r>
          </w:p>
        </w:tc>
        <w:tc>
          <w:tcPr>
            <w:tcW w:w="1985" w:type="dxa"/>
            <w:shd w:val="clear" w:color="auto" w:fill="auto"/>
          </w:tcPr>
          <w:p w14:paraId="3EBC7B96" w14:textId="38F5D9DB" w:rsidR="00144875" w:rsidRPr="00220468" w:rsidRDefault="00971C9F" w:rsidP="00971C9F">
            <w:pPr>
              <w:pStyle w:val="ListParagraph"/>
              <w:numPr>
                <w:ilvl w:val="0"/>
                <w:numId w:val="31"/>
              </w:numPr>
              <w:ind w:left="284" w:hanging="284"/>
              <w:contextualSpacing w:val="0"/>
              <w:jc w:val="left"/>
              <w:rPr>
                <w:i/>
                <w:sz w:val="20"/>
                <w:lang w:val="bg-BG"/>
              </w:rPr>
            </w:pPr>
            <w:r w:rsidRPr="00220468">
              <w:rPr>
                <w:i/>
                <w:sz w:val="20"/>
                <w:lang w:val="bg-BG"/>
              </w:rPr>
              <w:t>Официално въвеждане на позиция пост-докторант</w:t>
            </w:r>
          </w:p>
        </w:tc>
      </w:tr>
      <w:tr w:rsidR="00E2576C" w:rsidRPr="00220468" w14:paraId="0D75FDFC" w14:textId="77777777" w:rsidTr="00FA4A23">
        <w:tc>
          <w:tcPr>
            <w:tcW w:w="9918" w:type="dxa"/>
            <w:gridSpan w:val="5"/>
            <w:shd w:val="clear" w:color="auto" w:fill="D9D9D9" w:themeFill="background1" w:themeFillShade="D9"/>
          </w:tcPr>
          <w:p w14:paraId="13465D4D" w14:textId="676D2803" w:rsidR="00E2576C" w:rsidRPr="00220468" w:rsidRDefault="00E2576C" w:rsidP="00E2576C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ru-RU"/>
              </w:rPr>
            </w:pPr>
            <w:r w:rsidRPr="00220468">
              <w:rPr>
                <w:rFonts w:asciiTheme="minorHAnsi" w:hAnsiTheme="minorHAnsi" w:cstheme="minorHAnsi"/>
                <w:b/>
                <w:sz w:val="20"/>
                <w:szCs w:val="20"/>
                <w:lang w:val="bg-BG"/>
              </w:rPr>
              <w:t>Условия на труд и социални осигуровки</w:t>
            </w:r>
          </w:p>
        </w:tc>
      </w:tr>
      <w:tr w:rsidR="00144875" w:rsidRPr="00220468" w14:paraId="03A50E12" w14:textId="77777777" w:rsidTr="008D410C">
        <w:tc>
          <w:tcPr>
            <w:tcW w:w="3681" w:type="dxa"/>
            <w:shd w:val="clear" w:color="auto" w:fill="auto"/>
          </w:tcPr>
          <w:p w14:paraId="62564250" w14:textId="463F6241" w:rsidR="001C6D80" w:rsidRPr="00220468" w:rsidRDefault="001C6D80" w:rsidP="00971C9F">
            <w:pPr>
              <w:pStyle w:val="ListParagraph"/>
              <w:numPr>
                <w:ilvl w:val="0"/>
                <w:numId w:val="32"/>
              </w:numPr>
              <w:ind w:left="227" w:hanging="227"/>
              <w:jc w:val="left"/>
              <w:rPr>
                <w:i/>
                <w:sz w:val="20"/>
                <w:lang w:val="bg-BG"/>
              </w:rPr>
            </w:pPr>
            <w:r w:rsidRPr="00220468">
              <w:rPr>
                <w:i/>
                <w:sz w:val="20"/>
                <w:lang w:val="bg-BG"/>
              </w:rPr>
              <w:t>По-нататъшното развитие и обновяване</w:t>
            </w:r>
            <w:r w:rsidR="00E02AB3" w:rsidRPr="00220468">
              <w:rPr>
                <w:i/>
                <w:sz w:val="20"/>
                <w:lang w:val="bg-BG"/>
              </w:rPr>
              <w:t xml:space="preserve"> на научноизследователската инфраструктура като част от </w:t>
            </w:r>
            <w:r w:rsidRPr="00220468">
              <w:rPr>
                <w:i/>
                <w:sz w:val="20"/>
                <w:lang w:val="bg-BG"/>
              </w:rPr>
              <w:t>„Център за върхови постижения“.</w:t>
            </w:r>
          </w:p>
          <w:p w14:paraId="140D1060" w14:textId="77777777" w:rsidR="00144875" w:rsidRPr="00220468" w:rsidRDefault="00144875" w:rsidP="00971C9F">
            <w:pPr>
              <w:spacing w:after="0" w:line="240" w:lineRule="auto"/>
              <w:ind w:left="227" w:hanging="227"/>
              <w:rPr>
                <w:rFonts w:eastAsia="Times New Roman"/>
                <w:i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14:paraId="59C0736E" w14:textId="77777777" w:rsidR="001C6D80" w:rsidRPr="00220468" w:rsidRDefault="001C6D80" w:rsidP="001C6D80">
            <w:pPr>
              <w:spacing w:after="0" w:line="240" w:lineRule="auto"/>
              <w:rPr>
                <w:rFonts w:eastAsia="Times New Roman"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sz w:val="20"/>
                <w:szCs w:val="20"/>
                <w:lang w:val="bg-BG"/>
              </w:rPr>
              <w:t>23. Изследователска среда</w:t>
            </w:r>
          </w:p>
          <w:p w14:paraId="5439E620" w14:textId="77777777" w:rsidR="00144875" w:rsidRPr="00220468" w:rsidRDefault="00144875" w:rsidP="0095321E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90E6BDA" w14:textId="77777777" w:rsidR="00144875" w:rsidRPr="00220468" w:rsidRDefault="00E02AB3" w:rsidP="00E02AB3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i/>
                <w:sz w:val="20"/>
                <w:szCs w:val="20"/>
                <w:lang w:val="bg-BG"/>
              </w:rPr>
              <w:t>4 години,</w:t>
            </w:r>
          </w:p>
          <w:p w14:paraId="4C3E3CC1" w14:textId="440AB7C5" w:rsidR="00E02AB3" w:rsidRPr="00220468" w:rsidRDefault="00E02AB3" w:rsidP="00E02AB3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i/>
                <w:sz w:val="20"/>
                <w:szCs w:val="20"/>
                <w:lang w:val="bg-BG"/>
              </w:rPr>
              <w:t>май 2020 – април 2024</w:t>
            </w:r>
          </w:p>
        </w:tc>
        <w:tc>
          <w:tcPr>
            <w:tcW w:w="1559" w:type="dxa"/>
            <w:shd w:val="clear" w:color="auto" w:fill="auto"/>
          </w:tcPr>
          <w:p w14:paraId="0AAD9DDF" w14:textId="7EEFD3F7" w:rsidR="00144875" w:rsidRPr="00220468" w:rsidRDefault="00E02AB3" w:rsidP="0095321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sz w:val="20"/>
                <w:szCs w:val="20"/>
                <w:lang w:val="bg-BG"/>
              </w:rPr>
              <w:t xml:space="preserve">Ректорското ръководство </w:t>
            </w:r>
          </w:p>
        </w:tc>
        <w:tc>
          <w:tcPr>
            <w:tcW w:w="1985" w:type="dxa"/>
            <w:shd w:val="clear" w:color="auto" w:fill="auto"/>
          </w:tcPr>
          <w:p w14:paraId="418E1AC0" w14:textId="568A7435" w:rsidR="00144875" w:rsidRPr="00220468" w:rsidRDefault="00E02AB3" w:rsidP="00E02AB3">
            <w:pPr>
              <w:pStyle w:val="ListParagraph"/>
              <w:numPr>
                <w:ilvl w:val="0"/>
                <w:numId w:val="33"/>
              </w:numPr>
              <w:ind w:left="284" w:hanging="284"/>
              <w:jc w:val="left"/>
              <w:rPr>
                <w:i/>
                <w:sz w:val="20"/>
                <w:lang w:val="bg-BG"/>
              </w:rPr>
            </w:pPr>
            <w:r w:rsidRPr="00220468">
              <w:rPr>
                <w:i/>
                <w:sz w:val="20"/>
                <w:lang w:val="bg-BG"/>
              </w:rPr>
              <w:t>Изграден на Център за върхови постижения</w:t>
            </w:r>
          </w:p>
        </w:tc>
      </w:tr>
      <w:tr w:rsidR="00144875" w:rsidRPr="00220468" w14:paraId="0A78C937" w14:textId="77777777" w:rsidTr="008D410C">
        <w:tc>
          <w:tcPr>
            <w:tcW w:w="3681" w:type="dxa"/>
            <w:shd w:val="clear" w:color="auto" w:fill="auto"/>
          </w:tcPr>
          <w:p w14:paraId="6E19859A" w14:textId="586CFEB1" w:rsidR="00144875" w:rsidRPr="00220468" w:rsidRDefault="00E02AB3" w:rsidP="00E02AB3">
            <w:pPr>
              <w:pStyle w:val="ListParagraph"/>
              <w:numPr>
                <w:ilvl w:val="0"/>
                <w:numId w:val="33"/>
              </w:numPr>
              <w:ind w:left="284" w:hanging="284"/>
              <w:jc w:val="left"/>
              <w:rPr>
                <w:i/>
                <w:sz w:val="20"/>
              </w:rPr>
            </w:pPr>
            <w:r w:rsidRPr="00220468">
              <w:rPr>
                <w:i/>
                <w:sz w:val="20"/>
                <w:lang w:val="bg-BG"/>
              </w:rPr>
              <w:t>Разработване на</w:t>
            </w:r>
            <w:r w:rsidR="001C6D80" w:rsidRPr="00220468">
              <w:rPr>
                <w:i/>
                <w:sz w:val="20"/>
                <w:lang w:val="bg-BG"/>
              </w:rPr>
              <w:t xml:space="preserve"> Стратегия за развитие на човешките ресурси (изследователите/академичния персонал) за периода 2020-2024 г.</w:t>
            </w:r>
          </w:p>
        </w:tc>
        <w:tc>
          <w:tcPr>
            <w:tcW w:w="1417" w:type="dxa"/>
          </w:tcPr>
          <w:p w14:paraId="33DDE0A2" w14:textId="77777777" w:rsidR="001C6D80" w:rsidRPr="00220468" w:rsidRDefault="001C6D80" w:rsidP="001C6D8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bg-BG"/>
              </w:rPr>
            </w:pPr>
            <w:r w:rsidRPr="00220468">
              <w:rPr>
                <w:rFonts w:asciiTheme="minorHAnsi" w:eastAsia="Times New Roman" w:hAnsiTheme="minorHAnsi" w:cstheme="minorHAnsi"/>
                <w:sz w:val="20"/>
                <w:szCs w:val="20"/>
                <w:lang w:val="bg-BG"/>
              </w:rPr>
              <w:t>28. Кариерно израстване</w:t>
            </w:r>
          </w:p>
          <w:p w14:paraId="64276692" w14:textId="77777777" w:rsidR="00144875" w:rsidRPr="00220468" w:rsidRDefault="00144875" w:rsidP="0095321E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9D42497" w14:textId="77777777" w:rsidR="00267D74" w:rsidRPr="00220468" w:rsidRDefault="00267D74" w:rsidP="00267D74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i/>
                <w:sz w:val="20"/>
                <w:szCs w:val="20"/>
                <w:lang w:val="bg-BG"/>
              </w:rPr>
              <w:t xml:space="preserve">2 години, септември 2020 – </w:t>
            </w:r>
            <w:r w:rsidRPr="00220468">
              <w:rPr>
                <w:rFonts w:eastAsia="Times New Roman"/>
                <w:i/>
                <w:sz w:val="20"/>
                <w:szCs w:val="20"/>
                <w:lang w:val="bg-BG"/>
              </w:rPr>
              <w:lastRenderedPageBreak/>
              <w:t>август 2022</w:t>
            </w:r>
          </w:p>
          <w:p w14:paraId="5696D22B" w14:textId="77777777" w:rsidR="00144875" w:rsidRPr="00220468" w:rsidRDefault="00144875" w:rsidP="0095321E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2D0B2D7" w14:textId="20687F9D" w:rsidR="00E02AB3" w:rsidRPr="00220468" w:rsidRDefault="00E02AB3" w:rsidP="0095321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sz w:val="20"/>
                <w:szCs w:val="20"/>
                <w:lang w:val="bg-BG"/>
              </w:rPr>
              <w:lastRenderedPageBreak/>
              <w:t>Екип от</w:t>
            </w:r>
          </w:p>
          <w:p w14:paraId="22EF5F1D" w14:textId="719EEBA0" w:rsidR="00144875" w:rsidRPr="00220468" w:rsidRDefault="00E02AB3" w:rsidP="0095321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sz w:val="20"/>
                <w:szCs w:val="20"/>
                <w:lang w:val="bg-BG"/>
              </w:rPr>
              <w:t xml:space="preserve">Зам.-ректор академичен състав и </w:t>
            </w:r>
            <w:r w:rsidRPr="00220468">
              <w:rPr>
                <w:rFonts w:eastAsia="Times New Roman"/>
                <w:sz w:val="20"/>
                <w:szCs w:val="20"/>
                <w:lang w:val="bg-BG"/>
              </w:rPr>
              <w:lastRenderedPageBreak/>
              <w:t>координация; Зам.-ректор научноизследователска дейност; Директор „Човешки ресурси“, Група за стратегическо управление</w:t>
            </w:r>
          </w:p>
          <w:p w14:paraId="7309A15F" w14:textId="06C3DC84" w:rsidR="00E02AB3" w:rsidRPr="00220468" w:rsidRDefault="00E02AB3" w:rsidP="0095321E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5380ACFA" w14:textId="1EF68236" w:rsidR="00144875" w:rsidRPr="00220468" w:rsidRDefault="00E02AB3" w:rsidP="00E02AB3">
            <w:pPr>
              <w:pStyle w:val="ListParagraph"/>
              <w:numPr>
                <w:ilvl w:val="0"/>
                <w:numId w:val="32"/>
              </w:numPr>
              <w:ind w:left="284" w:hanging="284"/>
              <w:jc w:val="left"/>
              <w:rPr>
                <w:i/>
                <w:sz w:val="20"/>
              </w:rPr>
            </w:pPr>
            <w:r w:rsidRPr="00220468">
              <w:rPr>
                <w:i/>
                <w:sz w:val="20"/>
                <w:lang w:val="bg-BG"/>
              </w:rPr>
              <w:lastRenderedPageBreak/>
              <w:t>Стратегия за развитие на изследователите в ТУ-София</w:t>
            </w:r>
          </w:p>
        </w:tc>
      </w:tr>
      <w:tr w:rsidR="009C2F31" w:rsidRPr="00220468" w14:paraId="168A814D" w14:textId="77777777" w:rsidTr="00FA4A23">
        <w:tc>
          <w:tcPr>
            <w:tcW w:w="9918" w:type="dxa"/>
            <w:gridSpan w:val="5"/>
            <w:shd w:val="clear" w:color="auto" w:fill="D9D9D9" w:themeFill="background1" w:themeFillShade="D9"/>
          </w:tcPr>
          <w:p w14:paraId="47014395" w14:textId="4E2D1359" w:rsidR="009C2F31" w:rsidRPr="00220468" w:rsidRDefault="009C2F31" w:rsidP="009C2F3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220468">
              <w:rPr>
                <w:rFonts w:eastAsia="Times New Roman"/>
                <w:b/>
                <w:sz w:val="20"/>
                <w:szCs w:val="20"/>
                <w:lang w:val="bg-BG"/>
              </w:rPr>
              <w:t>Обучение и развитие</w:t>
            </w:r>
          </w:p>
        </w:tc>
      </w:tr>
      <w:tr w:rsidR="00144875" w:rsidRPr="00220468" w14:paraId="6A4F5F21" w14:textId="77777777" w:rsidTr="008D410C">
        <w:tc>
          <w:tcPr>
            <w:tcW w:w="3681" w:type="dxa"/>
            <w:shd w:val="clear" w:color="auto" w:fill="auto"/>
          </w:tcPr>
          <w:p w14:paraId="5B4341FD" w14:textId="3A66858E" w:rsidR="009C2F31" w:rsidRPr="00220468" w:rsidRDefault="009C2F31" w:rsidP="00C515ED">
            <w:pPr>
              <w:pStyle w:val="ListParagraph"/>
              <w:numPr>
                <w:ilvl w:val="0"/>
                <w:numId w:val="34"/>
              </w:numPr>
              <w:ind w:left="284" w:hanging="284"/>
              <w:jc w:val="left"/>
              <w:rPr>
                <w:i/>
                <w:sz w:val="20"/>
                <w:lang w:val="bg-BG"/>
              </w:rPr>
            </w:pPr>
            <w:r w:rsidRPr="00220468">
              <w:rPr>
                <w:i/>
                <w:sz w:val="20"/>
                <w:lang w:val="bg-BG"/>
              </w:rPr>
              <w:t>Разработване на ясни процедури и осигуряване на компетентен персонал, който да може да консултира изследователите от всички етапи на кариерното им развитие относно тяхното израстване, както и да им оказва съдействие при търсене на възможности за работа.</w:t>
            </w:r>
          </w:p>
          <w:p w14:paraId="0A1E58BA" w14:textId="77777777" w:rsidR="00C515ED" w:rsidRPr="00220468" w:rsidRDefault="00C515ED" w:rsidP="00C515ED">
            <w:pPr>
              <w:pStyle w:val="ListParagraph"/>
              <w:ind w:left="284"/>
              <w:jc w:val="left"/>
              <w:rPr>
                <w:i/>
                <w:sz w:val="20"/>
                <w:lang w:val="bg-BG"/>
              </w:rPr>
            </w:pPr>
          </w:p>
          <w:p w14:paraId="6580F0DF" w14:textId="19A5AFF7" w:rsidR="00C515ED" w:rsidRPr="00220468" w:rsidRDefault="00C515ED" w:rsidP="00C515ED">
            <w:pPr>
              <w:pStyle w:val="ListParagraph"/>
              <w:numPr>
                <w:ilvl w:val="0"/>
                <w:numId w:val="34"/>
              </w:numPr>
              <w:ind w:left="284" w:hanging="284"/>
              <w:jc w:val="left"/>
              <w:rPr>
                <w:i/>
                <w:sz w:val="20"/>
                <w:lang w:val="bg-BG"/>
              </w:rPr>
            </w:pPr>
            <w:r w:rsidRPr="00220468">
              <w:rPr>
                <w:i/>
                <w:sz w:val="20"/>
                <w:lang w:val="bg-BG"/>
              </w:rPr>
              <w:t>Обучение за начинаещи ръководители на докторанти</w:t>
            </w:r>
          </w:p>
          <w:p w14:paraId="65010C43" w14:textId="77777777" w:rsidR="00144875" w:rsidRPr="00220468" w:rsidRDefault="00144875" w:rsidP="0095321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14:paraId="7DA21E37" w14:textId="77777777" w:rsidR="009C2F31" w:rsidRPr="00220468" w:rsidRDefault="009C2F31" w:rsidP="009C2F31">
            <w:pPr>
              <w:spacing w:after="0" w:line="240" w:lineRule="auto"/>
              <w:rPr>
                <w:rFonts w:eastAsia="Times New Roman"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sz w:val="20"/>
                <w:szCs w:val="20"/>
                <w:lang w:val="bg-BG"/>
              </w:rPr>
              <w:t>30. Достъп до консултиране по отношение на кариерното развитие</w:t>
            </w:r>
          </w:p>
          <w:p w14:paraId="744044D2" w14:textId="77777777" w:rsidR="00144875" w:rsidRPr="00220468" w:rsidRDefault="00144875" w:rsidP="0095321E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277D36A" w14:textId="77777777" w:rsidR="008A6E53" w:rsidRPr="00220468" w:rsidRDefault="008A6E53" w:rsidP="008A6E53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i/>
                <w:sz w:val="20"/>
                <w:szCs w:val="20"/>
                <w:lang w:val="bg-BG"/>
              </w:rPr>
              <w:t>4 години,</w:t>
            </w:r>
          </w:p>
          <w:p w14:paraId="609D2E5D" w14:textId="09F66945" w:rsidR="00144875" w:rsidRPr="00220468" w:rsidRDefault="008A6E53" w:rsidP="008A6E53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</w:rPr>
            </w:pPr>
            <w:r w:rsidRPr="00220468">
              <w:rPr>
                <w:rFonts w:eastAsia="Times New Roman"/>
                <w:i/>
                <w:sz w:val="20"/>
                <w:szCs w:val="20"/>
                <w:lang w:val="bg-BG"/>
              </w:rPr>
              <w:t>май 2020 – април 2024</w:t>
            </w:r>
          </w:p>
        </w:tc>
        <w:tc>
          <w:tcPr>
            <w:tcW w:w="1559" w:type="dxa"/>
            <w:shd w:val="clear" w:color="auto" w:fill="auto"/>
          </w:tcPr>
          <w:p w14:paraId="09088C37" w14:textId="64E97ECD" w:rsidR="00144875" w:rsidRPr="00220468" w:rsidRDefault="008A6E53" w:rsidP="00267D74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sz w:val="20"/>
                <w:szCs w:val="20"/>
                <w:lang w:val="bg-BG"/>
              </w:rPr>
              <w:t xml:space="preserve">Работната група, представители на </w:t>
            </w:r>
            <w:r w:rsidRPr="00220468">
              <w:rPr>
                <w:rFonts w:eastAsia="Times New Roman"/>
                <w:sz w:val="20"/>
                <w:szCs w:val="20"/>
                <w:lang w:val="en-US"/>
              </w:rPr>
              <w:t>EUROAXESS</w:t>
            </w:r>
            <w:r w:rsidRPr="00220468">
              <w:rPr>
                <w:rFonts w:eastAsia="Times New Roman"/>
                <w:sz w:val="20"/>
                <w:szCs w:val="20"/>
                <w:lang w:val="bg-BG"/>
              </w:rPr>
              <w:t>, отдел „Човешки ресурси“</w:t>
            </w:r>
          </w:p>
        </w:tc>
        <w:tc>
          <w:tcPr>
            <w:tcW w:w="1985" w:type="dxa"/>
            <w:shd w:val="clear" w:color="auto" w:fill="auto"/>
          </w:tcPr>
          <w:p w14:paraId="260AB67D" w14:textId="1DDB785C" w:rsidR="00144875" w:rsidRPr="00220468" w:rsidRDefault="008A6E53" w:rsidP="008A6E53">
            <w:pPr>
              <w:pStyle w:val="ListParagraph"/>
              <w:numPr>
                <w:ilvl w:val="0"/>
                <w:numId w:val="34"/>
              </w:numPr>
              <w:ind w:left="284" w:hanging="284"/>
              <w:jc w:val="left"/>
              <w:rPr>
                <w:i/>
                <w:sz w:val="20"/>
                <w:lang w:val="bg-BG"/>
              </w:rPr>
            </w:pPr>
            <w:r w:rsidRPr="00220468">
              <w:rPr>
                <w:i/>
                <w:sz w:val="20"/>
                <w:lang w:val="bg-BG"/>
              </w:rPr>
              <w:t>Приети процедури за работа по отношение професионал</w:t>
            </w:r>
            <w:r w:rsidR="00267D74" w:rsidRPr="00220468">
              <w:rPr>
                <w:i/>
                <w:sz w:val="20"/>
                <w:lang w:val="bg-BG"/>
              </w:rPr>
              <w:t>-</w:t>
            </w:r>
            <w:r w:rsidRPr="00220468">
              <w:rPr>
                <w:i/>
                <w:sz w:val="20"/>
                <w:lang w:val="bg-BG"/>
              </w:rPr>
              <w:t>но консултиране по отношение на развитие на научната кариера.</w:t>
            </w:r>
          </w:p>
          <w:p w14:paraId="6DE71CAB" w14:textId="77777777" w:rsidR="008A6E53" w:rsidRPr="00220468" w:rsidRDefault="008A6E53" w:rsidP="008A6E53">
            <w:pPr>
              <w:pStyle w:val="ListParagraph"/>
              <w:ind w:left="284" w:hanging="284"/>
              <w:jc w:val="left"/>
              <w:rPr>
                <w:i/>
                <w:sz w:val="20"/>
                <w:lang w:val="bg-BG"/>
              </w:rPr>
            </w:pPr>
          </w:p>
          <w:p w14:paraId="27F7D912" w14:textId="039247E5" w:rsidR="008A6E53" w:rsidRPr="00220468" w:rsidRDefault="008A6E53" w:rsidP="008A6E53">
            <w:pPr>
              <w:pStyle w:val="ListParagraph"/>
              <w:numPr>
                <w:ilvl w:val="0"/>
                <w:numId w:val="34"/>
              </w:numPr>
              <w:ind w:left="284" w:hanging="284"/>
              <w:jc w:val="left"/>
              <w:rPr>
                <w:i/>
                <w:sz w:val="20"/>
                <w:lang w:val="bg-BG"/>
              </w:rPr>
            </w:pPr>
            <w:r w:rsidRPr="00220468">
              <w:rPr>
                <w:i/>
                <w:sz w:val="20"/>
                <w:lang w:val="bg-BG"/>
              </w:rPr>
              <w:t>Обучения на начинаещите ръководители на докторанти.</w:t>
            </w:r>
          </w:p>
        </w:tc>
      </w:tr>
      <w:tr w:rsidR="00144875" w:rsidRPr="00220468" w14:paraId="344FF155" w14:textId="77777777" w:rsidTr="008D410C">
        <w:tc>
          <w:tcPr>
            <w:tcW w:w="3681" w:type="dxa"/>
            <w:shd w:val="clear" w:color="auto" w:fill="auto"/>
          </w:tcPr>
          <w:p w14:paraId="02015BCB" w14:textId="090EA80D" w:rsidR="00144875" w:rsidRPr="00220468" w:rsidRDefault="009C2F31" w:rsidP="008A6E53">
            <w:pPr>
              <w:pStyle w:val="ListParagraph"/>
              <w:numPr>
                <w:ilvl w:val="0"/>
                <w:numId w:val="43"/>
              </w:numPr>
              <w:ind w:left="227" w:hanging="227"/>
              <w:jc w:val="left"/>
              <w:rPr>
                <w:i/>
                <w:sz w:val="20"/>
              </w:rPr>
            </w:pPr>
            <w:r w:rsidRPr="00220468">
              <w:rPr>
                <w:i/>
                <w:sz w:val="20"/>
                <w:lang w:val="bg-BG"/>
              </w:rPr>
              <w:t>Необходимо е да се разширят правомощията на досега действащите комисии</w:t>
            </w:r>
            <w:r w:rsidR="002E2F68" w:rsidRPr="00220468">
              <w:rPr>
                <w:i/>
                <w:sz w:val="20"/>
                <w:lang w:val="bg-BG"/>
              </w:rPr>
              <w:t xml:space="preserve"> (Етична комисия; Комисия за защита на интелектуална собственост)</w:t>
            </w:r>
            <w:r w:rsidRPr="00220468">
              <w:rPr>
                <w:i/>
                <w:sz w:val="20"/>
                <w:lang w:val="bg-BG"/>
              </w:rPr>
              <w:t>, за да могат да се произнасят по конфликти между учен в началото на кариерното си развитие и неговия научен ръководител.</w:t>
            </w:r>
          </w:p>
        </w:tc>
        <w:tc>
          <w:tcPr>
            <w:tcW w:w="1417" w:type="dxa"/>
          </w:tcPr>
          <w:p w14:paraId="5E627EB2" w14:textId="77777777" w:rsidR="00267D74" w:rsidRPr="00220468" w:rsidRDefault="009C2F31" w:rsidP="009C2F3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sz w:val="20"/>
                <w:szCs w:val="20"/>
                <w:lang w:val="bg-BG"/>
              </w:rPr>
              <w:t>34. Оплаквания/</w:t>
            </w:r>
          </w:p>
          <w:p w14:paraId="5603E867" w14:textId="4F85E301" w:rsidR="009C2F31" w:rsidRPr="00220468" w:rsidRDefault="009C2F31" w:rsidP="009C2F3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sz w:val="20"/>
                <w:szCs w:val="20"/>
                <w:lang w:val="bg-BG"/>
              </w:rPr>
              <w:t>жалби</w:t>
            </w:r>
          </w:p>
          <w:p w14:paraId="092B3651" w14:textId="77777777" w:rsidR="00144875" w:rsidRPr="00220468" w:rsidRDefault="00144875" w:rsidP="0095321E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9CF846A" w14:textId="5B929777" w:rsidR="00144875" w:rsidRPr="00220468" w:rsidRDefault="008A6E53" w:rsidP="0095321E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</w:rPr>
            </w:pPr>
            <w:r w:rsidRPr="00220468">
              <w:rPr>
                <w:rFonts w:eastAsia="Times New Roman"/>
                <w:i/>
                <w:sz w:val="20"/>
                <w:szCs w:val="20"/>
                <w:lang w:val="bg-BG"/>
              </w:rPr>
              <w:t>1 година, до април 2021</w:t>
            </w:r>
          </w:p>
        </w:tc>
        <w:tc>
          <w:tcPr>
            <w:tcW w:w="1559" w:type="dxa"/>
            <w:shd w:val="clear" w:color="auto" w:fill="auto"/>
          </w:tcPr>
          <w:p w14:paraId="0917AFD1" w14:textId="40CC652C" w:rsidR="00144875" w:rsidRPr="00220468" w:rsidRDefault="008A6E53" w:rsidP="0095321E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i/>
                <w:sz w:val="20"/>
                <w:szCs w:val="20"/>
                <w:lang w:val="bg-BG"/>
              </w:rPr>
              <w:t>Работна група</w:t>
            </w:r>
          </w:p>
        </w:tc>
        <w:tc>
          <w:tcPr>
            <w:tcW w:w="1985" w:type="dxa"/>
            <w:shd w:val="clear" w:color="auto" w:fill="auto"/>
          </w:tcPr>
          <w:p w14:paraId="6CC09CE5" w14:textId="4F9C3562" w:rsidR="00144875" w:rsidRPr="00220468" w:rsidRDefault="008A6E53" w:rsidP="008A6E53">
            <w:pPr>
              <w:pStyle w:val="ListParagraph"/>
              <w:numPr>
                <w:ilvl w:val="0"/>
                <w:numId w:val="43"/>
              </w:numPr>
              <w:ind w:left="284" w:hanging="284"/>
              <w:jc w:val="left"/>
              <w:rPr>
                <w:i/>
                <w:sz w:val="20"/>
                <w:lang w:val="bg-BG"/>
              </w:rPr>
            </w:pPr>
            <w:r w:rsidRPr="00220468">
              <w:rPr>
                <w:i/>
                <w:sz w:val="20"/>
                <w:lang w:val="bg-BG"/>
              </w:rPr>
              <w:t xml:space="preserve">Разширени правомощия на </w:t>
            </w:r>
            <w:r w:rsidRPr="00220468">
              <w:rPr>
                <w:i/>
                <w:color w:val="000000" w:themeColor="text1"/>
                <w:sz w:val="20"/>
                <w:lang w:val="bg-BG"/>
              </w:rPr>
              <w:t>Етичната комисия</w:t>
            </w:r>
          </w:p>
        </w:tc>
      </w:tr>
      <w:tr w:rsidR="00144875" w:rsidRPr="00220468" w14:paraId="16562476" w14:textId="77777777" w:rsidTr="008D410C">
        <w:tc>
          <w:tcPr>
            <w:tcW w:w="3681" w:type="dxa"/>
            <w:shd w:val="clear" w:color="auto" w:fill="auto"/>
          </w:tcPr>
          <w:p w14:paraId="79EA1255" w14:textId="4F47BE2D" w:rsidR="00144875" w:rsidRPr="00220468" w:rsidRDefault="009C2F31" w:rsidP="00267D74">
            <w:pPr>
              <w:pStyle w:val="ListParagraph"/>
              <w:numPr>
                <w:ilvl w:val="0"/>
                <w:numId w:val="44"/>
              </w:numPr>
              <w:ind w:left="284" w:hanging="284"/>
              <w:jc w:val="left"/>
              <w:rPr>
                <w:i/>
                <w:sz w:val="20"/>
              </w:rPr>
            </w:pPr>
            <w:r w:rsidRPr="00220468">
              <w:rPr>
                <w:i/>
                <w:sz w:val="20"/>
                <w:lang w:val="bg-BG"/>
              </w:rPr>
              <w:t>Организиране на семинари и допълнително обучение както за изследователи в началото на своето кариерно развитие (асистенти и докторанти), така и за научните им ръководители.</w:t>
            </w:r>
          </w:p>
        </w:tc>
        <w:tc>
          <w:tcPr>
            <w:tcW w:w="1417" w:type="dxa"/>
          </w:tcPr>
          <w:p w14:paraId="6315D545" w14:textId="6F52FA59" w:rsidR="009C2F31" w:rsidRPr="00220468" w:rsidRDefault="009C2F31" w:rsidP="009C2F3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bg-BG"/>
              </w:rPr>
            </w:pPr>
            <w:r w:rsidRPr="00220468">
              <w:rPr>
                <w:rFonts w:asciiTheme="minorHAnsi" w:eastAsia="Times New Roman" w:hAnsiTheme="minorHAnsi" w:cstheme="minorHAnsi"/>
                <w:sz w:val="20"/>
                <w:szCs w:val="20"/>
                <w:lang w:val="bg-BG"/>
              </w:rPr>
              <w:t>37. Задължения на научните ръководители</w:t>
            </w:r>
          </w:p>
          <w:p w14:paraId="5D5B2A08" w14:textId="5F961414" w:rsidR="00267D74" w:rsidRPr="00220468" w:rsidRDefault="00267D74" w:rsidP="009C2F3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bg-BG"/>
              </w:rPr>
            </w:pPr>
          </w:p>
          <w:p w14:paraId="1B8D3C0D" w14:textId="70CB2F48" w:rsidR="00267D74" w:rsidRPr="00220468" w:rsidRDefault="00267D74" w:rsidP="009C2F3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bg-BG"/>
              </w:rPr>
            </w:pPr>
            <w:r w:rsidRPr="00220468">
              <w:rPr>
                <w:rFonts w:asciiTheme="minorHAnsi" w:eastAsia="Times New Roman" w:hAnsiTheme="minorHAnsi" w:cstheme="minorHAnsi"/>
                <w:sz w:val="20"/>
                <w:szCs w:val="20"/>
                <w:lang w:val="bg-BG"/>
              </w:rPr>
              <w:t>40. Научно ръководство</w:t>
            </w:r>
          </w:p>
          <w:p w14:paraId="23CE3985" w14:textId="77777777" w:rsidR="00144875" w:rsidRPr="00220468" w:rsidRDefault="00144875" w:rsidP="0095321E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52EF93A" w14:textId="77777777" w:rsidR="00270623" w:rsidRPr="00220468" w:rsidRDefault="00270623" w:rsidP="00270623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i/>
                <w:sz w:val="20"/>
                <w:szCs w:val="20"/>
                <w:lang w:val="bg-BG"/>
              </w:rPr>
              <w:t>2 години, септември 2020 – август 2022</w:t>
            </w:r>
          </w:p>
          <w:p w14:paraId="398179DC" w14:textId="77777777" w:rsidR="00144875" w:rsidRPr="00220468" w:rsidRDefault="00144875" w:rsidP="0095321E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72CBEE5" w14:textId="33F63D19" w:rsidR="00144875" w:rsidRPr="00220468" w:rsidRDefault="00695810" w:rsidP="00267D74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i/>
                <w:sz w:val="20"/>
                <w:szCs w:val="20"/>
                <w:lang w:val="bg-BG"/>
              </w:rPr>
              <w:t>Зам. Ректор НИД със съдействието на работна група</w:t>
            </w:r>
          </w:p>
        </w:tc>
        <w:tc>
          <w:tcPr>
            <w:tcW w:w="1985" w:type="dxa"/>
            <w:shd w:val="clear" w:color="auto" w:fill="auto"/>
          </w:tcPr>
          <w:p w14:paraId="4AA42617" w14:textId="07B780E7" w:rsidR="00144875" w:rsidRPr="00220468" w:rsidRDefault="00267D74" w:rsidP="00F51FB2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ru-RU"/>
              </w:rPr>
            </w:pPr>
            <w:r w:rsidRPr="00220468">
              <w:rPr>
                <w:rFonts w:eastAsia="Times New Roman"/>
                <w:i/>
                <w:sz w:val="20"/>
                <w:szCs w:val="20"/>
                <w:lang w:val="ru-RU"/>
              </w:rPr>
              <w:t>- Обучения и семинари посветени на задълженията и отговорностите на научните ръководители и  докторантите.</w:t>
            </w:r>
          </w:p>
        </w:tc>
      </w:tr>
      <w:tr w:rsidR="00144875" w:rsidRPr="00220468" w14:paraId="600A08B9" w14:textId="77777777" w:rsidTr="008D410C">
        <w:tc>
          <w:tcPr>
            <w:tcW w:w="3681" w:type="dxa"/>
            <w:shd w:val="clear" w:color="auto" w:fill="auto"/>
          </w:tcPr>
          <w:p w14:paraId="640BC5B2" w14:textId="77777777" w:rsidR="00F51FB2" w:rsidRPr="00220468" w:rsidRDefault="009C2F31" w:rsidP="009C2F31">
            <w:pPr>
              <w:pStyle w:val="ListParagraph"/>
              <w:numPr>
                <w:ilvl w:val="0"/>
                <w:numId w:val="35"/>
              </w:numPr>
              <w:ind w:left="340" w:hanging="170"/>
              <w:jc w:val="left"/>
              <w:rPr>
                <w:i/>
                <w:sz w:val="20"/>
                <w:lang w:val="bg-BG"/>
              </w:rPr>
            </w:pPr>
            <w:r w:rsidRPr="00220468">
              <w:rPr>
                <w:i/>
                <w:sz w:val="20"/>
                <w:lang w:val="bg-BG"/>
              </w:rPr>
              <w:t>Организиране на работни срещи, семинари и академични дискусии</w:t>
            </w:r>
          </w:p>
          <w:p w14:paraId="5A11AFCF" w14:textId="77777777" w:rsidR="00F51FB2" w:rsidRPr="00220468" w:rsidRDefault="009C2F31" w:rsidP="009C2F31">
            <w:pPr>
              <w:pStyle w:val="ListParagraph"/>
              <w:numPr>
                <w:ilvl w:val="0"/>
                <w:numId w:val="35"/>
              </w:numPr>
              <w:ind w:left="340" w:hanging="170"/>
              <w:jc w:val="left"/>
              <w:rPr>
                <w:i/>
                <w:sz w:val="20"/>
                <w:lang w:val="bg-BG"/>
              </w:rPr>
            </w:pPr>
            <w:r w:rsidRPr="00220468">
              <w:rPr>
                <w:i/>
                <w:sz w:val="20"/>
                <w:lang w:val="bg-BG"/>
              </w:rPr>
              <w:t>По-нататъшно развитие на научните форуми, организирани в рамките на „Дни на науката“.</w:t>
            </w:r>
          </w:p>
          <w:p w14:paraId="01C1901F" w14:textId="5B5B567C" w:rsidR="009C2F31" w:rsidRPr="00220468" w:rsidRDefault="009C2F31" w:rsidP="009C2F31">
            <w:pPr>
              <w:pStyle w:val="ListParagraph"/>
              <w:numPr>
                <w:ilvl w:val="0"/>
                <w:numId w:val="35"/>
              </w:numPr>
              <w:ind w:left="340" w:hanging="170"/>
              <w:jc w:val="left"/>
              <w:rPr>
                <w:sz w:val="20"/>
                <w:lang w:val="bg-BG"/>
              </w:rPr>
            </w:pPr>
            <w:r w:rsidRPr="00220468">
              <w:rPr>
                <w:i/>
                <w:sz w:val="20"/>
                <w:lang w:val="bg-BG"/>
              </w:rPr>
              <w:t>Семинари и допълнително обучение за всички изследователи.</w:t>
            </w:r>
          </w:p>
        </w:tc>
        <w:tc>
          <w:tcPr>
            <w:tcW w:w="1417" w:type="dxa"/>
          </w:tcPr>
          <w:p w14:paraId="0173BCF3" w14:textId="1028E916" w:rsidR="009C2F31" w:rsidRPr="00220468" w:rsidRDefault="009C2F31" w:rsidP="009C2F31">
            <w:pPr>
              <w:spacing w:after="0" w:line="240" w:lineRule="auto"/>
              <w:rPr>
                <w:rFonts w:eastAsia="Times New Roman"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sz w:val="20"/>
                <w:szCs w:val="20"/>
                <w:lang w:val="bg-BG"/>
              </w:rPr>
              <w:t>38. Продължаващо професионално развитие</w:t>
            </w:r>
          </w:p>
          <w:p w14:paraId="0C829915" w14:textId="77777777" w:rsidR="00267D74" w:rsidRPr="00220468" w:rsidRDefault="00267D74" w:rsidP="009C2F31">
            <w:pPr>
              <w:spacing w:after="0" w:line="240" w:lineRule="auto"/>
              <w:rPr>
                <w:rFonts w:eastAsia="Times New Roman"/>
                <w:sz w:val="20"/>
                <w:szCs w:val="20"/>
                <w:lang w:val="bg-BG"/>
              </w:rPr>
            </w:pPr>
          </w:p>
          <w:p w14:paraId="3E095901" w14:textId="77777777" w:rsidR="009C2F31" w:rsidRPr="00220468" w:rsidRDefault="009C2F31" w:rsidP="009C2F31">
            <w:pPr>
              <w:spacing w:after="0" w:line="240" w:lineRule="auto"/>
              <w:rPr>
                <w:rFonts w:eastAsia="Times New Roman"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sz w:val="20"/>
                <w:szCs w:val="20"/>
                <w:lang w:val="bg-BG"/>
              </w:rPr>
              <w:t>39. Достъп на учените до продължаващо обучение и развитие</w:t>
            </w:r>
          </w:p>
          <w:p w14:paraId="79C2B326" w14:textId="77777777" w:rsidR="00144875" w:rsidRPr="00220468" w:rsidRDefault="00144875" w:rsidP="0095321E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7D33C68C" w14:textId="77777777" w:rsidR="00270623" w:rsidRPr="00220468" w:rsidRDefault="00270623" w:rsidP="00270623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i/>
                <w:sz w:val="20"/>
                <w:szCs w:val="20"/>
                <w:lang w:val="bg-BG"/>
              </w:rPr>
              <w:lastRenderedPageBreak/>
              <w:t>2 години, септември 2020 – август 2022</w:t>
            </w:r>
          </w:p>
          <w:p w14:paraId="3D5FBA5C" w14:textId="77777777" w:rsidR="00144875" w:rsidRPr="00220468" w:rsidRDefault="00144875" w:rsidP="0095321E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C7D2813" w14:textId="7DE822FE" w:rsidR="00144875" w:rsidRPr="00220468" w:rsidRDefault="00F51FB2" w:rsidP="0095321E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i/>
                <w:sz w:val="20"/>
                <w:szCs w:val="20"/>
                <w:lang w:val="bg-BG"/>
              </w:rPr>
              <w:t>Работна група, НИС, зам.-ректори по НПД и АСК</w:t>
            </w:r>
          </w:p>
        </w:tc>
        <w:tc>
          <w:tcPr>
            <w:tcW w:w="1985" w:type="dxa"/>
            <w:shd w:val="clear" w:color="auto" w:fill="auto"/>
          </w:tcPr>
          <w:p w14:paraId="0D05A7BB" w14:textId="77777777" w:rsidR="00144875" w:rsidRPr="00220468" w:rsidRDefault="00F51FB2" w:rsidP="00F51FB2">
            <w:pPr>
              <w:pStyle w:val="ListParagraph"/>
              <w:numPr>
                <w:ilvl w:val="0"/>
                <w:numId w:val="35"/>
              </w:numPr>
              <w:ind w:left="284" w:hanging="284"/>
              <w:jc w:val="left"/>
              <w:rPr>
                <w:i/>
                <w:sz w:val="20"/>
                <w:lang w:val="bg-BG"/>
              </w:rPr>
            </w:pPr>
            <w:r w:rsidRPr="00220468">
              <w:rPr>
                <w:i/>
                <w:sz w:val="20"/>
                <w:lang w:val="bg-BG"/>
              </w:rPr>
              <w:t>Проведени семинари</w:t>
            </w:r>
          </w:p>
          <w:p w14:paraId="7C0E32CF" w14:textId="04DD7443" w:rsidR="00F51FB2" w:rsidRPr="00220468" w:rsidRDefault="00F51FB2" w:rsidP="00F51FB2">
            <w:pPr>
              <w:pStyle w:val="ListParagraph"/>
              <w:numPr>
                <w:ilvl w:val="0"/>
                <w:numId w:val="35"/>
              </w:numPr>
              <w:ind w:left="284" w:hanging="284"/>
              <w:jc w:val="left"/>
              <w:rPr>
                <w:i/>
                <w:sz w:val="20"/>
                <w:lang w:val="bg-BG"/>
              </w:rPr>
            </w:pPr>
            <w:r w:rsidRPr="00220468">
              <w:rPr>
                <w:i/>
                <w:sz w:val="20"/>
                <w:lang w:val="bg-BG"/>
              </w:rPr>
              <w:t>„Дни на науката“</w:t>
            </w:r>
          </w:p>
          <w:p w14:paraId="087733C7" w14:textId="292A854F" w:rsidR="00F51FB2" w:rsidRPr="00220468" w:rsidRDefault="00F51FB2" w:rsidP="00F51FB2">
            <w:pPr>
              <w:pStyle w:val="ListParagraph"/>
              <w:numPr>
                <w:ilvl w:val="0"/>
                <w:numId w:val="35"/>
              </w:numPr>
              <w:ind w:left="284" w:hanging="284"/>
              <w:jc w:val="left"/>
              <w:rPr>
                <w:i/>
                <w:sz w:val="20"/>
                <w:lang w:val="bg-BG"/>
              </w:rPr>
            </w:pPr>
            <w:r w:rsidRPr="00220468">
              <w:rPr>
                <w:i/>
                <w:sz w:val="20"/>
                <w:lang w:val="bg-BG"/>
              </w:rPr>
              <w:t>Наукометрич</w:t>
            </w:r>
            <w:r w:rsidR="00267D74" w:rsidRPr="00220468">
              <w:rPr>
                <w:i/>
                <w:sz w:val="20"/>
                <w:lang w:val="bg-BG"/>
              </w:rPr>
              <w:t>-</w:t>
            </w:r>
            <w:r w:rsidRPr="00220468">
              <w:rPr>
                <w:i/>
                <w:sz w:val="20"/>
                <w:lang w:val="bg-BG"/>
              </w:rPr>
              <w:t>ни данни - статистика</w:t>
            </w:r>
          </w:p>
        </w:tc>
      </w:tr>
      <w:tr w:rsidR="002E2F68" w:rsidRPr="00220468" w14:paraId="446CCDDE" w14:textId="77777777" w:rsidTr="008D410C">
        <w:tc>
          <w:tcPr>
            <w:tcW w:w="3681" w:type="dxa"/>
            <w:shd w:val="clear" w:color="auto" w:fill="auto"/>
          </w:tcPr>
          <w:p w14:paraId="47AEE52C" w14:textId="78D5AD1C" w:rsidR="002E2F68" w:rsidRPr="00220468" w:rsidRDefault="002E2F68" w:rsidP="00267D74">
            <w:pPr>
              <w:pStyle w:val="CommentText"/>
              <w:numPr>
                <w:ilvl w:val="0"/>
                <w:numId w:val="35"/>
              </w:numPr>
              <w:spacing w:line="240" w:lineRule="auto"/>
              <w:ind w:left="340" w:hanging="170"/>
              <w:rPr>
                <w:i/>
                <w:lang w:val="bg-BG"/>
              </w:rPr>
            </w:pPr>
            <w:r w:rsidRPr="00220468">
              <w:rPr>
                <w:i/>
                <w:lang w:val="bg-BG"/>
              </w:rPr>
              <w:t xml:space="preserve">Насърчаване участие на научноизследователския състав в програми за професионално  развитие и извън страната. </w:t>
            </w:r>
          </w:p>
          <w:p w14:paraId="55028DBD" w14:textId="77777777" w:rsidR="002E2F68" w:rsidRPr="00220468" w:rsidRDefault="002E2F68" w:rsidP="000A6D2F">
            <w:pPr>
              <w:rPr>
                <w:i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</w:tcPr>
          <w:p w14:paraId="3975433C" w14:textId="446FD9E5" w:rsidR="002E2F68" w:rsidRPr="00220468" w:rsidRDefault="002E2F68" w:rsidP="002E2F68">
            <w:pPr>
              <w:spacing w:after="0" w:line="240" w:lineRule="auto"/>
              <w:rPr>
                <w:rFonts w:eastAsia="Times New Roman"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sz w:val="20"/>
                <w:szCs w:val="20"/>
                <w:lang w:val="bg-BG"/>
              </w:rPr>
              <w:t>38. Продължаващо професионално развитие</w:t>
            </w:r>
          </w:p>
          <w:p w14:paraId="1207111E" w14:textId="77777777" w:rsidR="00267D74" w:rsidRPr="00220468" w:rsidRDefault="00267D74" w:rsidP="002E2F68">
            <w:pPr>
              <w:spacing w:after="0" w:line="240" w:lineRule="auto"/>
              <w:rPr>
                <w:rFonts w:eastAsia="Times New Roman"/>
                <w:sz w:val="20"/>
                <w:szCs w:val="20"/>
                <w:lang w:val="bg-BG"/>
              </w:rPr>
            </w:pPr>
          </w:p>
          <w:p w14:paraId="62A117B5" w14:textId="77777777" w:rsidR="002E2F68" w:rsidRPr="00220468" w:rsidRDefault="002E2F68" w:rsidP="002E2F68">
            <w:pPr>
              <w:spacing w:after="0" w:line="240" w:lineRule="auto"/>
              <w:rPr>
                <w:rFonts w:eastAsia="Times New Roman"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sz w:val="20"/>
                <w:szCs w:val="20"/>
                <w:lang w:val="bg-BG"/>
              </w:rPr>
              <w:t>39. Достъп на учените до продължаващо обучение и развитие</w:t>
            </w:r>
          </w:p>
          <w:p w14:paraId="5E04747C" w14:textId="77777777" w:rsidR="002E2F68" w:rsidRPr="00220468" w:rsidRDefault="002E2F68" w:rsidP="009C2F31">
            <w:pPr>
              <w:spacing w:after="0" w:line="240" w:lineRule="auto"/>
              <w:rPr>
                <w:rFonts w:eastAsia="Times New Roman"/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  <w:shd w:val="clear" w:color="auto" w:fill="auto"/>
          </w:tcPr>
          <w:p w14:paraId="229E913E" w14:textId="77777777" w:rsidR="002E2F68" w:rsidRPr="00220468" w:rsidRDefault="002E2F68" w:rsidP="002E2F68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i/>
                <w:sz w:val="20"/>
                <w:szCs w:val="20"/>
                <w:lang w:val="bg-BG"/>
              </w:rPr>
              <w:t>2 години, септември 2020 – август 2022</w:t>
            </w:r>
          </w:p>
          <w:p w14:paraId="6BF5974E" w14:textId="77777777" w:rsidR="002E2F68" w:rsidRPr="00220468" w:rsidRDefault="002E2F68" w:rsidP="00270623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1559" w:type="dxa"/>
            <w:shd w:val="clear" w:color="auto" w:fill="auto"/>
          </w:tcPr>
          <w:p w14:paraId="73CC4835" w14:textId="786F5B17" w:rsidR="002E2F68" w:rsidRPr="00220468" w:rsidRDefault="002E2F68" w:rsidP="002E2F68">
            <w:pPr>
              <w:pStyle w:val="CommentText"/>
              <w:rPr>
                <w:lang w:val="bg-BG"/>
              </w:rPr>
            </w:pPr>
            <w:r w:rsidRPr="00220468">
              <w:rPr>
                <w:lang w:val="bg-BG"/>
              </w:rPr>
              <w:t xml:space="preserve">Зам.-ректор по АС, Зам.-ректор по НИД и съответни комисии + работна група. </w:t>
            </w:r>
          </w:p>
          <w:p w14:paraId="47BA7882" w14:textId="77777777" w:rsidR="002E2F68" w:rsidRPr="00220468" w:rsidRDefault="002E2F68" w:rsidP="0095321E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  <w:shd w:val="clear" w:color="auto" w:fill="auto"/>
          </w:tcPr>
          <w:p w14:paraId="57ADDFBA" w14:textId="5E797072" w:rsidR="002E2F68" w:rsidRPr="00220468" w:rsidRDefault="002E2F68" w:rsidP="00F51FB2">
            <w:pPr>
              <w:pStyle w:val="ListParagraph"/>
              <w:numPr>
                <w:ilvl w:val="0"/>
                <w:numId w:val="35"/>
              </w:numPr>
              <w:ind w:left="284" w:hanging="284"/>
              <w:jc w:val="left"/>
              <w:rPr>
                <w:i/>
                <w:sz w:val="20"/>
                <w:lang w:val="bg-BG"/>
              </w:rPr>
            </w:pPr>
            <w:r w:rsidRPr="00220468">
              <w:rPr>
                <w:i/>
                <w:sz w:val="20"/>
                <w:lang w:val="bg-BG"/>
              </w:rPr>
              <w:t>Брой специализации и обучения на изследователския състав за периода</w:t>
            </w:r>
          </w:p>
        </w:tc>
      </w:tr>
      <w:tr w:rsidR="000A6D2F" w:rsidRPr="00220468" w14:paraId="3ACAF413" w14:textId="77777777" w:rsidTr="008D410C">
        <w:tc>
          <w:tcPr>
            <w:tcW w:w="3681" w:type="dxa"/>
            <w:shd w:val="clear" w:color="auto" w:fill="auto"/>
          </w:tcPr>
          <w:p w14:paraId="4224C364" w14:textId="55571E83" w:rsidR="000A6D2F" w:rsidRPr="00220468" w:rsidRDefault="00267D74" w:rsidP="00B54DFD">
            <w:pPr>
              <w:pStyle w:val="CommentText"/>
              <w:numPr>
                <w:ilvl w:val="0"/>
                <w:numId w:val="35"/>
              </w:numPr>
              <w:spacing w:after="0" w:line="240" w:lineRule="auto"/>
              <w:ind w:left="340" w:hanging="170"/>
              <w:rPr>
                <w:i/>
                <w:lang w:val="bg-BG"/>
              </w:rPr>
            </w:pPr>
            <w:r w:rsidRPr="00220468">
              <w:rPr>
                <w:i/>
                <w:lang w:val="bg-BG"/>
              </w:rPr>
              <w:t>Намиране на средства и разширяване на абонамента за бази данни.</w:t>
            </w:r>
          </w:p>
        </w:tc>
        <w:tc>
          <w:tcPr>
            <w:tcW w:w="1417" w:type="dxa"/>
          </w:tcPr>
          <w:p w14:paraId="1768B4BD" w14:textId="3C31384C" w:rsidR="000A6D2F" w:rsidRPr="00220468" w:rsidRDefault="00267D74" w:rsidP="00B54DFD">
            <w:pPr>
              <w:pStyle w:val="ListParagraph"/>
              <w:numPr>
                <w:ilvl w:val="0"/>
                <w:numId w:val="46"/>
              </w:numPr>
              <w:contextualSpacing w:val="0"/>
              <w:rPr>
                <w:sz w:val="20"/>
                <w:lang w:val="bg-BG"/>
              </w:rPr>
            </w:pPr>
            <w:r w:rsidRPr="00220468">
              <w:rPr>
                <w:sz w:val="20"/>
                <w:lang w:val="bg-BG"/>
              </w:rPr>
              <w:t>Научна свобода</w:t>
            </w:r>
          </w:p>
        </w:tc>
        <w:tc>
          <w:tcPr>
            <w:tcW w:w="1276" w:type="dxa"/>
            <w:shd w:val="clear" w:color="auto" w:fill="auto"/>
          </w:tcPr>
          <w:p w14:paraId="7BCE3B60" w14:textId="77777777" w:rsidR="00B54DFD" w:rsidRPr="00220468" w:rsidRDefault="00B54DFD" w:rsidP="00B54DFD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i/>
                <w:sz w:val="20"/>
                <w:szCs w:val="20"/>
                <w:lang w:val="bg-BG"/>
              </w:rPr>
              <w:t>2 години, септември 2020 – август 2022</w:t>
            </w:r>
          </w:p>
          <w:p w14:paraId="26EA6F3C" w14:textId="77777777" w:rsidR="000A6D2F" w:rsidRPr="00220468" w:rsidRDefault="000A6D2F" w:rsidP="00B54DFD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1559" w:type="dxa"/>
            <w:shd w:val="clear" w:color="auto" w:fill="auto"/>
          </w:tcPr>
          <w:p w14:paraId="0ABA0999" w14:textId="47AE6194" w:rsidR="000A6D2F" w:rsidRPr="00220468" w:rsidRDefault="00B54DFD" w:rsidP="00B54DFD">
            <w:pPr>
              <w:pStyle w:val="CommentText"/>
              <w:spacing w:after="0" w:line="240" w:lineRule="auto"/>
              <w:rPr>
                <w:lang w:val="bg-BG"/>
              </w:rPr>
            </w:pPr>
            <w:r w:rsidRPr="00220468">
              <w:rPr>
                <w:rFonts w:eastAsia="Times New Roman"/>
                <w:lang w:val="bg-BG"/>
              </w:rPr>
              <w:t>Ректорското ръководство</w:t>
            </w:r>
          </w:p>
        </w:tc>
        <w:tc>
          <w:tcPr>
            <w:tcW w:w="1985" w:type="dxa"/>
            <w:shd w:val="clear" w:color="auto" w:fill="auto"/>
          </w:tcPr>
          <w:p w14:paraId="1E0ED9EC" w14:textId="5F1DF9D9" w:rsidR="000A6D2F" w:rsidRPr="00220468" w:rsidRDefault="00B54DFD" w:rsidP="00B54DFD">
            <w:pPr>
              <w:pStyle w:val="ListParagraph"/>
              <w:numPr>
                <w:ilvl w:val="0"/>
                <w:numId w:val="35"/>
              </w:numPr>
              <w:ind w:left="284" w:hanging="284"/>
              <w:contextualSpacing w:val="0"/>
              <w:jc w:val="left"/>
              <w:rPr>
                <w:i/>
                <w:sz w:val="20"/>
                <w:lang w:val="bg-BG"/>
              </w:rPr>
            </w:pPr>
            <w:r w:rsidRPr="00220468">
              <w:rPr>
                <w:i/>
                <w:sz w:val="20"/>
                <w:lang w:val="bg-BG"/>
              </w:rPr>
              <w:t>Достъп до нови бази данни</w:t>
            </w:r>
          </w:p>
        </w:tc>
      </w:tr>
      <w:tr w:rsidR="000A6D2F" w:rsidRPr="00220468" w14:paraId="233CBBC5" w14:textId="77777777" w:rsidTr="008D410C">
        <w:tc>
          <w:tcPr>
            <w:tcW w:w="3681" w:type="dxa"/>
            <w:shd w:val="clear" w:color="auto" w:fill="auto"/>
          </w:tcPr>
          <w:p w14:paraId="002675C3" w14:textId="34D6D675" w:rsidR="000A6D2F" w:rsidRPr="00220468" w:rsidRDefault="00B54DFD" w:rsidP="00B54DFD">
            <w:pPr>
              <w:pStyle w:val="CommentText"/>
              <w:numPr>
                <w:ilvl w:val="0"/>
                <w:numId w:val="35"/>
              </w:numPr>
              <w:spacing w:after="0" w:line="240" w:lineRule="auto"/>
              <w:ind w:left="340" w:hanging="170"/>
              <w:rPr>
                <w:i/>
                <w:lang w:val="bg-BG"/>
              </w:rPr>
            </w:pPr>
            <w:r w:rsidRPr="00220468">
              <w:rPr>
                <w:i/>
                <w:lang w:val="bg-BG"/>
              </w:rPr>
              <w:t>Семинари и допълнително обучение на добри практики за изследователи в началото на кариерното си развитие и докторанти</w:t>
            </w:r>
          </w:p>
        </w:tc>
        <w:tc>
          <w:tcPr>
            <w:tcW w:w="1417" w:type="dxa"/>
          </w:tcPr>
          <w:p w14:paraId="5E807914" w14:textId="00B7E499" w:rsidR="000A6D2F" w:rsidRPr="00220468" w:rsidRDefault="00B54DFD" w:rsidP="00B54DFD">
            <w:pPr>
              <w:spacing w:after="0" w:line="240" w:lineRule="auto"/>
              <w:rPr>
                <w:rFonts w:eastAsia="Times New Roman"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sz w:val="20"/>
                <w:szCs w:val="20"/>
                <w:lang w:val="bg-BG"/>
              </w:rPr>
              <w:t>37. Задължение на научните ръководители</w:t>
            </w:r>
          </w:p>
        </w:tc>
        <w:tc>
          <w:tcPr>
            <w:tcW w:w="1276" w:type="dxa"/>
            <w:shd w:val="clear" w:color="auto" w:fill="auto"/>
          </w:tcPr>
          <w:p w14:paraId="1C9B7BAC" w14:textId="77777777" w:rsidR="00B54DFD" w:rsidRPr="00220468" w:rsidRDefault="00B54DFD" w:rsidP="00B54DFD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  <w:r w:rsidRPr="00220468">
              <w:rPr>
                <w:rFonts w:eastAsia="Times New Roman"/>
                <w:i/>
                <w:sz w:val="20"/>
                <w:szCs w:val="20"/>
                <w:lang w:val="bg-BG"/>
              </w:rPr>
              <w:t>2 години, септември 2020 – август 2022</w:t>
            </w:r>
          </w:p>
          <w:p w14:paraId="01B1D9CD" w14:textId="77777777" w:rsidR="000A6D2F" w:rsidRPr="00220468" w:rsidRDefault="000A6D2F" w:rsidP="00B54DFD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1559" w:type="dxa"/>
            <w:shd w:val="clear" w:color="auto" w:fill="auto"/>
          </w:tcPr>
          <w:p w14:paraId="7454D341" w14:textId="77777777" w:rsidR="00B54DFD" w:rsidRPr="00220468" w:rsidRDefault="00B54DFD" w:rsidP="00B54DFD">
            <w:pPr>
              <w:pStyle w:val="CommentText"/>
              <w:spacing w:after="0" w:line="240" w:lineRule="auto"/>
              <w:rPr>
                <w:lang w:val="bg-BG"/>
              </w:rPr>
            </w:pPr>
            <w:r w:rsidRPr="00220468">
              <w:rPr>
                <w:lang w:val="bg-BG"/>
              </w:rPr>
              <w:t xml:space="preserve">Зам.-ректор по АС, Зам.-ректор по НИД и съответни комисии + работна група. </w:t>
            </w:r>
          </w:p>
          <w:p w14:paraId="1EFD2DB2" w14:textId="77777777" w:rsidR="000A6D2F" w:rsidRPr="00220468" w:rsidRDefault="000A6D2F" w:rsidP="00B54DFD">
            <w:pPr>
              <w:pStyle w:val="CommentText"/>
              <w:spacing w:after="0" w:line="240" w:lineRule="auto"/>
              <w:rPr>
                <w:lang w:val="bg-BG"/>
              </w:rPr>
            </w:pPr>
          </w:p>
        </w:tc>
        <w:tc>
          <w:tcPr>
            <w:tcW w:w="1985" w:type="dxa"/>
            <w:shd w:val="clear" w:color="auto" w:fill="auto"/>
          </w:tcPr>
          <w:p w14:paraId="71CEBD30" w14:textId="5259F450" w:rsidR="000A6D2F" w:rsidRPr="00220468" w:rsidRDefault="00B54DFD" w:rsidP="00B54DFD">
            <w:pPr>
              <w:pStyle w:val="ListParagraph"/>
              <w:numPr>
                <w:ilvl w:val="0"/>
                <w:numId w:val="35"/>
              </w:numPr>
              <w:ind w:left="284" w:hanging="284"/>
              <w:contextualSpacing w:val="0"/>
              <w:jc w:val="left"/>
              <w:rPr>
                <w:i/>
                <w:sz w:val="20"/>
                <w:lang w:val="bg-BG"/>
              </w:rPr>
            </w:pPr>
            <w:r w:rsidRPr="00220468">
              <w:rPr>
                <w:i/>
                <w:sz w:val="20"/>
                <w:lang w:val="bg-BG"/>
              </w:rPr>
              <w:t>Проведени семинари и обучения</w:t>
            </w:r>
          </w:p>
        </w:tc>
      </w:tr>
    </w:tbl>
    <w:p w14:paraId="37C47EBE" w14:textId="0B04F551" w:rsidR="009B056C" w:rsidRPr="00220468" w:rsidRDefault="009B056C" w:rsidP="00E73E32">
      <w:pPr>
        <w:pStyle w:val="ListParagraph"/>
        <w:ind w:left="-142"/>
        <w:rPr>
          <w:sz w:val="20"/>
          <w:lang w:val="bg-BG"/>
        </w:rPr>
      </w:pPr>
      <w:r w:rsidRPr="00220468">
        <w:rPr>
          <w:sz w:val="20"/>
          <w:lang w:val="bg-BG"/>
        </w:rPr>
        <w:t>Установяването на прозрачна политика за подбор на персонал е ключов елемент в ст</w:t>
      </w:r>
      <w:r w:rsidR="008B71BE" w:rsidRPr="00220468">
        <w:rPr>
          <w:sz w:val="20"/>
          <w:lang w:val="bg-BG"/>
        </w:rPr>
        <w:t>р</w:t>
      </w:r>
      <w:r w:rsidRPr="00220468">
        <w:rPr>
          <w:sz w:val="20"/>
          <w:lang w:val="bg-BG"/>
        </w:rPr>
        <w:t>атегията</w:t>
      </w:r>
      <w:r w:rsidR="004A3ABA" w:rsidRPr="00220468">
        <w:rPr>
          <w:sz w:val="20"/>
          <w:lang w:val="bg-BG"/>
        </w:rPr>
        <w:t xml:space="preserve"> на ЕС</w:t>
      </w:r>
      <w:r w:rsidRPr="00220468">
        <w:rPr>
          <w:sz w:val="20"/>
          <w:lang w:val="bg-BG"/>
        </w:rPr>
        <w:t xml:space="preserve"> </w:t>
      </w:r>
      <w:r w:rsidR="004A3ABA" w:rsidRPr="00220468">
        <w:rPr>
          <w:sz w:val="20"/>
          <w:lang w:val="bg-BG"/>
        </w:rPr>
        <w:t>за развитие на човешките ресурси</w:t>
      </w:r>
      <w:r w:rsidRPr="00220468">
        <w:rPr>
          <w:sz w:val="20"/>
          <w:lang w:val="bg-BG"/>
        </w:rPr>
        <w:t>. Моля, също така</w:t>
      </w:r>
      <w:r w:rsidR="00A05B28" w:rsidRPr="00220468">
        <w:rPr>
          <w:sz w:val="20"/>
          <w:lang w:val="bg-BG"/>
        </w:rPr>
        <w:t xml:space="preserve"> да</w:t>
      </w:r>
      <w:r w:rsidRPr="00220468">
        <w:rPr>
          <w:sz w:val="20"/>
          <w:lang w:val="bg-BG"/>
        </w:rPr>
        <w:t xml:space="preserve"> посочете как вашата организация ще използва инструментариума за </w:t>
      </w:r>
      <w:r w:rsidR="008B71BE" w:rsidRPr="00220468">
        <w:rPr>
          <w:sz w:val="20"/>
          <w:lang w:val="bg-BG"/>
        </w:rPr>
        <w:t>открити, прозрачни и основани на постиженията процедури за подбор (ОПП)</w:t>
      </w:r>
      <w:r w:rsidRPr="00220468">
        <w:rPr>
          <w:sz w:val="20"/>
          <w:lang w:val="bg-BG"/>
        </w:rPr>
        <w:t xml:space="preserve"> </w:t>
      </w:r>
      <w:r w:rsidR="008B71BE" w:rsidRPr="00220468">
        <w:rPr>
          <w:sz w:val="20"/>
          <w:lang w:val="bg-BG"/>
        </w:rPr>
        <w:t xml:space="preserve">и как възнамерявате да приложите/вече </w:t>
      </w:r>
      <w:r w:rsidRPr="00220468">
        <w:rPr>
          <w:sz w:val="20"/>
          <w:lang w:val="bg-BG"/>
        </w:rPr>
        <w:t xml:space="preserve">прилагате принципите на </w:t>
      </w:r>
      <w:r w:rsidR="00787187" w:rsidRPr="00220468">
        <w:rPr>
          <w:sz w:val="20"/>
          <w:lang w:val="bg-BG"/>
        </w:rPr>
        <w:t>ОПП</w:t>
      </w:r>
      <w:r w:rsidRPr="00220468">
        <w:rPr>
          <w:sz w:val="20"/>
          <w:lang w:val="bg-BG"/>
        </w:rPr>
        <w:t xml:space="preserve">. Въпреки че може да има някакво припокриване с редица действия, изброени по-горе, моля, </w:t>
      </w:r>
      <w:r w:rsidR="008B71BE" w:rsidRPr="00220468">
        <w:rPr>
          <w:sz w:val="20"/>
          <w:lang w:val="bg-BG"/>
        </w:rPr>
        <w:t>напишете</w:t>
      </w:r>
      <w:r w:rsidR="00A05B28" w:rsidRPr="00220468">
        <w:rPr>
          <w:sz w:val="20"/>
          <w:lang w:val="bg-BG"/>
        </w:rPr>
        <w:t xml:space="preserve"> кратък коментар, който да демонстрира това изпълнение. Ако</w:t>
      </w:r>
      <w:r w:rsidRPr="00220468">
        <w:rPr>
          <w:sz w:val="20"/>
          <w:lang w:val="bg-BG"/>
        </w:rPr>
        <w:t xml:space="preserve"> </w:t>
      </w:r>
      <w:r w:rsidR="00A05B28" w:rsidRPr="00220468">
        <w:rPr>
          <w:sz w:val="20"/>
          <w:lang w:val="bg-BG"/>
        </w:rPr>
        <w:t>случаят е такъв</w:t>
      </w:r>
      <w:r w:rsidRPr="00220468">
        <w:rPr>
          <w:sz w:val="20"/>
          <w:lang w:val="bg-BG"/>
        </w:rPr>
        <w:t xml:space="preserve">, моля, </w:t>
      </w:r>
      <w:r w:rsidR="00A05B28" w:rsidRPr="00220468">
        <w:rPr>
          <w:sz w:val="20"/>
          <w:lang w:val="bg-BG"/>
        </w:rPr>
        <w:t xml:space="preserve">да </w:t>
      </w:r>
      <w:r w:rsidRPr="00220468">
        <w:rPr>
          <w:sz w:val="20"/>
          <w:lang w:val="bg-BG"/>
        </w:rPr>
        <w:t>направете връзка</w:t>
      </w:r>
      <w:r w:rsidR="008B71BE" w:rsidRPr="00220468">
        <w:rPr>
          <w:sz w:val="20"/>
          <w:lang w:val="bg-BG"/>
        </w:rPr>
        <w:t xml:space="preserve"> между въпросника за</w:t>
      </w:r>
      <w:r w:rsidRPr="00220468">
        <w:rPr>
          <w:sz w:val="20"/>
          <w:lang w:val="bg-BG"/>
        </w:rPr>
        <w:t xml:space="preserve"> </w:t>
      </w:r>
      <w:r w:rsidR="008B71BE" w:rsidRPr="00220468">
        <w:rPr>
          <w:sz w:val="20"/>
          <w:lang w:val="bg-BG"/>
        </w:rPr>
        <w:t>ОПП</w:t>
      </w:r>
      <w:r w:rsidRPr="00220468">
        <w:rPr>
          <w:sz w:val="20"/>
          <w:lang w:val="bg-BG"/>
        </w:rPr>
        <w:t xml:space="preserve"> и цялостния план за действие</w:t>
      </w:r>
      <w:r w:rsidR="00A05B28" w:rsidRPr="00220468">
        <w:rPr>
          <w:sz w:val="20"/>
          <w:lang w:val="bg-BG"/>
        </w:rPr>
        <w:t>.</w:t>
      </w:r>
    </w:p>
    <w:p w14:paraId="181CCC0F" w14:textId="5843C851" w:rsidR="009B056C" w:rsidRPr="003A46C9" w:rsidRDefault="008D410C" w:rsidP="00E73E32">
      <w:pPr>
        <w:pStyle w:val="ListParagraph"/>
        <w:ind w:left="-142"/>
        <w:rPr>
          <w:lang w:val="ru-R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B5FFA6" wp14:editId="0D93EF92">
                <wp:simplePos x="0" y="0"/>
                <wp:positionH relativeFrom="column">
                  <wp:posOffset>-130878</wp:posOffset>
                </wp:positionH>
                <wp:positionV relativeFrom="paragraph">
                  <wp:posOffset>3759</wp:posOffset>
                </wp:positionV>
                <wp:extent cx="6466375" cy="4327917"/>
                <wp:effectExtent l="0" t="0" r="10795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375" cy="4327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35135" w14:textId="77777777" w:rsidR="00220468" w:rsidRPr="008D410C" w:rsidRDefault="00220468" w:rsidP="003276C8">
                            <w:pPr>
                              <w:spacing w:after="0" w:line="240" w:lineRule="auto"/>
                              <w:ind w:firstLine="510"/>
                              <w:rPr>
                                <w:sz w:val="18"/>
                                <w:szCs w:val="18"/>
                                <w:lang w:val="bg-BG" w:eastAsia="en-GB"/>
                              </w:rPr>
                            </w:pPr>
                            <w:r w:rsidRPr="008D410C">
                              <w:rPr>
                                <w:sz w:val="18"/>
                                <w:szCs w:val="18"/>
                                <w:lang w:val="bg-BG" w:eastAsia="en-GB"/>
                              </w:rPr>
                              <w:t xml:space="preserve">Във връзка с принципите за </w:t>
                            </w:r>
                            <w:r w:rsidRPr="008D410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bg-BG"/>
                              </w:rPr>
                              <w:t>набиране и подбор на персонала може да се обобщи, че</w:t>
                            </w:r>
                            <w:r w:rsidRPr="008D410C">
                              <w:rPr>
                                <w:sz w:val="18"/>
                                <w:szCs w:val="18"/>
                                <w:lang w:val="bg-BG" w:eastAsia="en-GB"/>
                              </w:rPr>
                              <w:t xml:space="preserve"> всички конкурси са отворени за всички желаещи да участват и се обявяват публично във вестник „Държавен вестник“ и на страницата на ТУ-София. </w:t>
                            </w:r>
                            <w:r w:rsidRPr="008D410C">
                              <w:rPr>
                                <w:sz w:val="18"/>
                                <w:szCs w:val="18"/>
                                <w:lang w:val="bg-BG"/>
                              </w:rPr>
                              <w:t>Обявите за свободни позиции по никакъв начин не дискриминират достъпа до кандидатстване.  В университета няма наличие на дискриминация по полов, етнически, религиозен или друг принцип.</w:t>
                            </w:r>
                          </w:p>
                          <w:p w14:paraId="29EF0EE2" w14:textId="77777777" w:rsidR="00220468" w:rsidRPr="008D410C" w:rsidRDefault="00220468" w:rsidP="003276C8">
                            <w:pPr>
                              <w:spacing w:after="0" w:line="240" w:lineRule="auto"/>
                              <w:ind w:firstLine="510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D410C">
                              <w:rPr>
                                <w:sz w:val="18"/>
                                <w:szCs w:val="18"/>
                                <w:lang w:val="bg-BG" w:eastAsia="en-GB"/>
                              </w:rPr>
                              <w:t>Обявите за свободни позиции са в съответствие с изискванията на националното законодателство, което до голяма степен гарантира спазване на основните принципи на Хартата и Кодекса.</w:t>
                            </w:r>
                          </w:p>
                          <w:p w14:paraId="49616E5A" w14:textId="15862E5A" w:rsidR="00220468" w:rsidRPr="003276C8" w:rsidRDefault="00220468" w:rsidP="003276C8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color w:val="000000" w:themeColor="text1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3276C8">
                              <w:rPr>
                                <w:color w:val="000000" w:themeColor="text1"/>
                                <w:sz w:val="18"/>
                                <w:szCs w:val="18"/>
                                <w:lang w:val="bg-BG"/>
                              </w:rPr>
                              <w:t>Закон за висшето образование 27.12.1996 г., последно изменен на 25 февруари 2020 г.</w:t>
                            </w:r>
                            <w:r w:rsidR="00395E3F">
                              <w:rPr>
                                <w:color w:val="000000" w:themeColor="text1"/>
                                <w:sz w:val="18"/>
                                <w:szCs w:val="18"/>
                                <w:lang w:val="bg-BG"/>
                              </w:rPr>
                              <w:t xml:space="preserve">  </w:t>
                            </w:r>
                          </w:p>
                          <w:p w14:paraId="2A33C820" w14:textId="13786F07" w:rsidR="002E2F68" w:rsidRPr="003276C8" w:rsidRDefault="00220468" w:rsidP="003276C8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color w:val="000000" w:themeColor="text1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3276C8">
                              <w:rPr>
                                <w:color w:val="000000" w:themeColor="text1"/>
                                <w:sz w:val="18"/>
                                <w:szCs w:val="18"/>
                                <w:lang w:val="bg-BG"/>
                              </w:rPr>
                              <w:t>Закон за развитие на академичния състав в Република България от 21 май 2010 г., последно изменен на 25 февруари 2020 г.</w:t>
                            </w:r>
                          </w:p>
                          <w:p w14:paraId="79B47B1B" w14:textId="77777777" w:rsidR="00220468" w:rsidRPr="003276C8" w:rsidRDefault="00220468" w:rsidP="003276C8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color w:val="000000" w:themeColor="text1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3276C8">
                              <w:rPr>
                                <w:color w:val="000000" w:themeColor="text1"/>
                                <w:sz w:val="18"/>
                                <w:szCs w:val="18"/>
                                <w:lang w:val="bg-BG"/>
                              </w:rPr>
                              <w:t>Кодекс на труда, влязъл в сила 01.01.1987 г., изменен последен на 24 март 2020 г.</w:t>
                            </w:r>
                          </w:p>
                          <w:p w14:paraId="15F79E8E" w14:textId="77777777" w:rsidR="00220468" w:rsidRPr="008D410C" w:rsidRDefault="00220468" w:rsidP="003276C8">
                            <w:pPr>
                              <w:spacing w:after="0" w:line="240" w:lineRule="auto"/>
                              <w:ind w:left="357" w:firstLine="510"/>
                              <w:rPr>
                                <w:sz w:val="18"/>
                                <w:szCs w:val="18"/>
                              </w:rPr>
                            </w:pPr>
                            <w:hyperlink r:id="rId10" w:history="1">
                              <w:r w:rsidRPr="008D410C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https://tu-sofia.bg/university/243</w:t>
                              </w:r>
                            </w:hyperlink>
                          </w:p>
                          <w:p w14:paraId="578A7AB0" w14:textId="77777777" w:rsidR="00220468" w:rsidRPr="008D410C" w:rsidRDefault="00220468" w:rsidP="003276C8">
                            <w:pPr>
                              <w:spacing w:after="0" w:line="240" w:lineRule="auto"/>
                              <w:ind w:left="357" w:firstLine="510"/>
                              <w:rPr>
                                <w:b/>
                                <w:sz w:val="18"/>
                                <w:szCs w:val="18"/>
                                <w:lang w:val="bg-BG"/>
                              </w:rPr>
                            </w:pPr>
                            <w:hyperlink r:id="rId11" w:history="1">
                              <w:r w:rsidRPr="008D410C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https://tu-sofia.bg/kcfinder/upload/files/norm-dok/akad_savet/Pravilnik_akadem_dl.pdf</w:t>
                              </w:r>
                            </w:hyperlink>
                          </w:p>
                          <w:p w14:paraId="4825090B" w14:textId="077BCB40" w:rsidR="00220468" w:rsidRPr="008D410C" w:rsidRDefault="00220468" w:rsidP="003276C8">
                            <w:pPr>
                              <w:spacing w:after="0" w:line="240" w:lineRule="auto"/>
                              <w:ind w:firstLine="510"/>
                              <w:rPr>
                                <w:sz w:val="18"/>
                                <w:szCs w:val="18"/>
                              </w:rPr>
                            </w:pPr>
                            <w:r w:rsidRPr="008D410C"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Наред с това действащият в момента Правилник за условията и реда за заемане на академични длъжности в ТУ-София, последно изменен на 13 юни 2019 г. дава ясни указания за еднозначна оценка на постиженията на кандидата. </w:t>
                            </w:r>
                            <w:hyperlink r:id="rId12" w:history="1">
                              <w:r w:rsidRPr="008D410C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https://tu-sofia.bg/kcfinder/upload/files/norm-dok/akad_savet/Pravilnik_akadem_dl.pdf</w:t>
                              </w:r>
                            </w:hyperlink>
                          </w:p>
                          <w:p w14:paraId="4A3D94D4" w14:textId="1A74A761" w:rsidR="00220468" w:rsidRPr="008D410C" w:rsidRDefault="00220468" w:rsidP="003276C8">
                            <w:pPr>
                              <w:spacing w:after="0" w:line="240" w:lineRule="auto"/>
                              <w:ind w:firstLine="510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8D410C">
                              <w:rPr>
                                <w:sz w:val="18"/>
                                <w:szCs w:val="18"/>
                                <w:lang w:val="bg-BG"/>
                              </w:rPr>
                              <w:t>По отношение на подбора на кандидати се наблюдават някои слабости при определяне на критериите за избор на асистенти и се предвижда тези слабости да бъдат преодолени. Наред с това не се отчита мобилността и пост-докторантурата като етап в кариерното израстване. Този проблем също е предвидено да бъде решен в Плана за действие.</w:t>
                            </w:r>
                          </w:p>
                          <w:p w14:paraId="37835CB6" w14:textId="77777777" w:rsidR="00220468" w:rsidRPr="003276C8" w:rsidRDefault="00220468" w:rsidP="003276C8">
                            <w:pPr>
                              <w:spacing w:after="0" w:line="240" w:lineRule="auto"/>
                              <w:ind w:firstLine="340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3276C8">
                              <w:rPr>
                                <w:sz w:val="18"/>
                                <w:szCs w:val="18"/>
                                <w:lang w:val="bg-BG"/>
                              </w:rPr>
                              <w:t>По отношение на качеството на научните изследвания се предвижда сега действащата</w:t>
                            </w:r>
                          </w:p>
                          <w:p w14:paraId="21CFEECA" w14:textId="4056F3B1" w:rsidR="00220468" w:rsidRPr="003276C8" w:rsidRDefault="00220468" w:rsidP="003276C8">
                            <w:pPr>
                              <w:spacing w:after="0" w:line="240" w:lineRule="auto"/>
                              <w:ind w:firstLine="340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3276C8">
                              <w:rPr>
                                <w:rFonts w:eastAsia="Times New Roman"/>
                                <w:sz w:val="18"/>
                                <w:szCs w:val="18"/>
                                <w:lang w:val="bg-BG"/>
                              </w:rPr>
                              <w:t xml:space="preserve">Система за оценяване и поддържане на качеството на обучението и научните изследвания в ТУ-София – СОПКОНИ </w:t>
                            </w:r>
                            <w:hyperlink r:id="rId13" w:history="1">
                              <w:r w:rsidRPr="003276C8">
                                <w:rPr>
                                  <w:color w:val="0000FF"/>
                                  <w:sz w:val="18"/>
                                  <w:szCs w:val="18"/>
                                  <w:u w:val="single"/>
                                </w:rPr>
                                <w:t>https://tu-sofia.bg/kcfinder/upload/files/SOPKONI_17n.pdf</w:t>
                              </w:r>
                            </w:hyperlink>
                            <w:r w:rsidRPr="003276C8">
                              <w:rPr>
                                <w:color w:val="0000FF"/>
                                <w:sz w:val="18"/>
                                <w:szCs w:val="18"/>
                                <w:u w:val="single"/>
                                <w:lang w:val="bg-BG"/>
                              </w:rPr>
                              <w:t xml:space="preserve"> </w:t>
                            </w:r>
                            <w:r w:rsidRPr="003276C8">
                              <w:rPr>
                                <w:rFonts w:eastAsia="Times New Roman"/>
                                <w:sz w:val="18"/>
                                <w:szCs w:val="18"/>
                                <w:lang w:val="bg-BG"/>
                              </w:rPr>
                              <w:t>да бъде подобрена и синхронизирана с принципите на Хартата и Кодекса.</w:t>
                            </w:r>
                          </w:p>
                          <w:p w14:paraId="00B9243D" w14:textId="39C29306" w:rsidR="00220468" w:rsidRPr="003276C8" w:rsidRDefault="00220468" w:rsidP="003276C8">
                            <w:pPr>
                              <w:spacing w:after="0" w:line="240" w:lineRule="auto"/>
                              <w:ind w:left="6" w:firstLine="340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3276C8"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Правилата за назначаване на комисии са уредени в националното законодателство и вътрешните наредби и правилници на ТУ-София. </w:t>
                            </w:r>
                            <w:r w:rsidRPr="003276C8">
                              <w:rPr>
                                <w:rFonts w:eastAsia="TimesNewRoman" w:cs="TimesNewRoman"/>
                                <w:sz w:val="18"/>
                                <w:szCs w:val="18"/>
                                <w:lang w:val="bg-BG"/>
                              </w:rPr>
                              <w:t>Членовете на комисиите за подбор са на различни нива на опит и компетентност</w:t>
                            </w:r>
                            <w:r w:rsidR="00395E3F">
                              <w:rPr>
                                <w:rFonts w:eastAsia="TimesNewRoman" w:cs="TimesNewRoman"/>
                                <w:sz w:val="18"/>
                                <w:szCs w:val="18"/>
                                <w:lang w:val="bg-BG"/>
                              </w:rPr>
                              <w:t>.</w:t>
                            </w:r>
                            <w:r w:rsidRPr="003276C8">
                              <w:rPr>
                                <w:rFonts w:eastAsia="TimesNewRoman,Bold"/>
                                <w:sz w:val="18"/>
                                <w:szCs w:val="18"/>
                                <w:lang w:val="bg-BG"/>
                              </w:rPr>
                              <w:t xml:space="preserve"> При подбора на членове на комисии</w:t>
                            </w:r>
                            <w:r w:rsidRPr="003276C8">
                              <w:rPr>
                                <w:rFonts w:eastAsia="TimesNewRoman" w:cs="TimesNewRoman"/>
                                <w:sz w:val="18"/>
                                <w:szCs w:val="18"/>
                                <w:lang w:val="bg-BG"/>
                              </w:rPr>
                              <w:t xml:space="preserve"> има баланс между мъже и жени. Основен критерии при подбор на членове на жури е научната област и степента на компетентност.</w:t>
                            </w:r>
                          </w:p>
                          <w:p w14:paraId="4B1B12F8" w14:textId="5A7AA1BB" w:rsidR="00220468" w:rsidRPr="003276C8" w:rsidRDefault="00220468" w:rsidP="003276C8">
                            <w:pPr>
                              <w:spacing w:after="0" w:line="240" w:lineRule="auto"/>
                              <w:ind w:left="6" w:firstLine="340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3276C8"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Всички кандидати биват информирани за резултата след края на процедурата по кандидатстване. </w:t>
                            </w:r>
                          </w:p>
                          <w:p w14:paraId="0E482036" w14:textId="316E1C1E" w:rsidR="00220468" w:rsidRPr="003276C8" w:rsidRDefault="00220468" w:rsidP="003276C8">
                            <w:pPr>
                              <w:spacing w:after="0" w:line="240" w:lineRule="auto"/>
                              <w:ind w:left="6" w:firstLine="340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3276C8">
                              <w:rPr>
                                <w:sz w:val="18"/>
                                <w:szCs w:val="18"/>
                                <w:lang w:val="bg-BG"/>
                              </w:rPr>
                              <w:t>По отношение на Етичните и професионални принципи се предвижда сега действащите вътрешно нормативни документи да бъдат хармонизирани с принципите на Хартата и Кодекса и да се проведат редица обучения. Всичко е подробно разписана в Плана за действие по-горе.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5FF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3pt;margin-top:.3pt;width:509.15pt;height:34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">
                <v:textbox>
                  <w:txbxContent>
                    <w:p w14:paraId="14235135" w14:textId="77777777" w:rsidR="00220468" w:rsidRPr="008D410C" w:rsidRDefault="00220468" w:rsidP="003276C8">
                      <w:pPr>
                        <w:spacing w:after="0" w:line="240" w:lineRule="auto"/>
                        <w:ind w:firstLine="510"/>
                        <w:rPr>
                          <w:sz w:val="18"/>
                          <w:szCs w:val="18"/>
                          <w:lang w:val="bg-BG" w:eastAsia="en-GB"/>
                        </w:rPr>
                      </w:pPr>
                      <w:r w:rsidRPr="008D410C">
                        <w:rPr>
                          <w:sz w:val="18"/>
                          <w:szCs w:val="18"/>
                          <w:lang w:val="bg-BG" w:eastAsia="en-GB"/>
                        </w:rPr>
                        <w:t xml:space="preserve">Във връзка с принципите за </w:t>
                      </w:r>
                      <w:r w:rsidRPr="008D410C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bg-BG"/>
                        </w:rPr>
                        <w:t>набиране и подбор на персонала може да се обобщи, че</w:t>
                      </w:r>
                      <w:r w:rsidRPr="008D410C">
                        <w:rPr>
                          <w:sz w:val="18"/>
                          <w:szCs w:val="18"/>
                          <w:lang w:val="bg-BG" w:eastAsia="en-GB"/>
                        </w:rPr>
                        <w:t xml:space="preserve"> всички конкурси са отворени за всички желаещи да участват и се обявяват публично във вестник „Държавен вестник“ и на страницата на ТУ-София. </w:t>
                      </w:r>
                      <w:r w:rsidRPr="008D410C">
                        <w:rPr>
                          <w:sz w:val="18"/>
                          <w:szCs w:val="18"/>
                          <w:lang w:val="bg-BG"/>
                        </w:rPr>
                        <w:t>Обявите за свободни позиции по никакъв начин не дискриминират достъпа до кандидатстване.  В университета няма наличие на дискриминация по полов, етнически, религиозен или друг принцип.</w:t>
                      </w:r>
                    </w:p>
                    <w:p w14:paraId="29EF0EE2" w14:textId="77777777" w:rsidR="00220468" w:rsidRPr="008D410C" w:rsidRDefault="00220468" w:rsidP="003276C8">
                      <w:pPr>
                        <w:spacing w:after="0" w:line="240" w:lineRule="auto"/>
                        <w:ind w:firstLine="510"/>
                        <w:contextualSpacing/>
                        <w:jc w:val="both"/>
                        <w:rPr>
                          <w:sz w:val="18"/>
                          <w:szCs w:val="18"/>
                          <w:lang w:eastAsia="en-GB"/>
                        </w:rPr>
                      </w:pPr>
                      <w:r w:rsidRPr="008D410C">
                        <w:rPr>
                          <w:sz w:val="18"/>
                          <w:szCs w:val="18"/>
                          <w:lang w:val="bg-BG" w:eastAsia="en-GB"/>
                        </w:rPr>
                        <w:t>Обявите за свободни позиции са в съответствие с изискванията на националното законодателство, което до голяма степен гарантира спазване на основните принципи на Хартата и Кодекса.</w:t>
                      </w:r>
                    </w:p>
                    <w:p w14:paraId="49616E5A" w14:textId="15862E5A" w:rsidR="00220468" w:rsidRPr="003276C8" w:rsidRDefault="00220468" w:rsidP="003276C8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color w:val="000000" w:themeColor="text1"/>
                          <w:sz w:val="18"/>
                          <w:szCs w:val="18"/>
                          <w:lang w:val="bg-BG"/>
                        </w:rPr>
                      </w:pPr>
                      <w:r w:rsidRPr="003276C8">
                        <w:rPr>
                          <w:color w:val="000000" w:themeColor="text1"/>
                          <w:sz w:val="18"/>
                          <w:szCs w:val="18"/>
                          <w:lang w:val="bg-BG"/>
                        </w:rPr>
                        <w:t>Закон за висшето образование 27.12.1996 г., последно изменен на 25 февруари 2020 г.</w:t>
                      </w:r>
                      <w:r w:rsidR="00395E3F">
                        <w:rPr>
                          <w:color w:val="000000" w:themeColor="text1"/>
                          <w:sz w:val="18"/>
                          <w:szCs w:val="18"/>
                          <w:lang w:val="bg-BG"/>
                        </w:rPr>
                        <w:t xml:space="preserve">  </w:t>
                      </w:r>
                    </w:p>
                    <w:p w14:paraId="2A33C820" w14:textId="13786F07" w:rsidR="002E2F68" w:rsidRPr="003276C8" w:rsidRDefault="00220468" w:rsidP="003276C8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color w:val="000000" w:themeColor="text1"/>
                          <w:sz w:val="18"/>
                          <w:szCs w:val="18"/>
                          <w:lang w:val="bg-BG"/>
                        </w:rPr>
                      </w:pPr>
                      <w:r w:rsidRPr="003276C8">
                        <w:rPr>
                          <w:color w:val="000000" w:themeColor="text1"/>
                          <w:sz w:val="18"/>
                          <w:szCs w:val="18"/>
                          <w:lang w:val="bg-BG"/>
                        </w:rPr>
                        <w:t>Закон за развитие на академичния състав в Република България от 21 май 2010 г., последно изменен на 25 февруари 2020 г.</w:t>
                      </w:r>
                    </w:p>
                    <w:p w14:paraId="79B47B1B" w14:textId="77777777" w:rsidR="00220468" w:rsidRPr="003276C8" w:rsidRDefault="00220468" w:rsidP="003276C8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color w:val="000000" w:themeColor="text1"/>
                          <w:sz w:val="18"/>
                          <w:szCs w:val="18"/>
                          <w:lang w:val="bg-BG"/>
                        </w:rPr>
                      </w:pPr>
                      <w:r w:rsidRPr="003276C8">
                        <w:rPr>
                          <w:color w:val="000000" w:themeColor="text1"/>
                          <w:sz w:val="18"/>
                          <w:szCs w:val="18"/>
                          <w:lang w:val="bg-BG"/>
                        </w:rPr>
                        <w:t>Кодекс на труда, влязъл в сила 01.01.1987 г., изменен последен на 24 март 2020 г.</w:t>
                      </w:r>
                    </w:p>
                    <w:p w14:paraId="15F79E8E" w14:textId="77777777" w:rsidR="00220468" w:rsidRPr="008D410C" w:rsidRDefault="00220468" w:rsidP="003276C8">
                      <w:pPr>
                        <w:spacing w:after="0" w:line="240" w:lineRule="auto"/>
                        <w:ind w:left="357" w:firstLine="510"/>
                        <w:rPr>
                          <w:sz w:val="18"/>
                          <w:szCs w:val="18"/>
                        </w:rPr>
                      </w:pPr>
                      <w:hyperlink r:id="rId14" w:history="1">
                        <w:r w:rsidRPr="008D410C">
                          <w:rPr>
                            <w:rStyle w:val="Hyperlink"/>
                            <w:sz w:val="18"/>
                            <w:szCs w:val="18"/>
                          </w:rPr>
                          <w:t>https://tu-sofia.bg/university/243</w:t>
                        </w:r>
                      </w:hyperlink>
                    </w:p>
                    <w:p w14:paraId="578A7AB0" w14:textId="77777777" w:rsidR="00220468" w:rsidRPr="008D410C" w:rsidRDefault="00220468" w:rsidP="003276C8">
                      <w:pPr>
                        <w:spacing w:after="0" w:line="240" w:lineRule="auto"/>
                        <w:ind w:left="357" w:firstLine="510"/>
                        <w:rPr>
                          <w:b/>
                          <w:sz w:val="18"/>
                          <w:szCs w:val="18"/>
                          <w:lang w:val="bg-BG"/>
                        </w:rPr>
                      </w:pPr>
                      <w:hyperlink r:id="rId15" w:history="1">
                        <w:r w:rsidRPr="008D410C">
                          <w:rPr>
                            <w:rStyle w:val="Hyperlink"/>
                            <w:sz w:val="18"/>
                            <w:szCs w:val="18"/>
                          </w:rPr>
                          <w:t>https://tu-sofia.bg/kcfinder/upload/files/norm-dok/akad_savet/Pravilnik_akadem_dl.pdf</w:t>
                        </w:r>
                      </w:hyperlink>
                    </w:p>
                    <w:p w14:paraId="4825090B" w14:textId="077BCB40" w:rsidR="00220468" w:rsidRPr="008D410C" w:rsidRDefault="00220468" w:rsidP="003276C8">
                      <w:pPr>
                        <w:spacing w:after="0" w:line="240" w:lineRule="auto"/>
                        <w:ind w:firstLine="510"/>
                        <w:rPr>
                          <w:sz w:val="18"/>
                          <w:szCs w:val="18"/>
                        </w:rPr>
                      </w:pPr>
                      <w:r w:rsidRPr="008D410C">
                        <w:rPr>
                          <w:sz w:val="18"/>
                          <w:szCs w:val="18"/>
                          <w:lang w:val="bg-BG"/>
                        </w:rPr>
                        <w:t xml:space="preserve">Наред с това действащият в момента Правилник за условията и реда за заемане на академични длъжности в ТУ-София, последно изменен на 13 юни 2019 г. дава ясни указания за еднозначна оценка на постиженията на кандидата. </w:t>
                      </w:r>
                      <w:hyperlink r:id="rId16" w:history="1">
                        <w:r w:rsidRPr="008D410C">
                          <w:rPr>
                            <w:rStyle w:val="Hyperlink"/>
                            <w:sz w:val="18"/>
                            <w:szCs w:val="18"/>
                          </w:rPr>
                          <w:t>https://tu-sofia.bg/kcfinder/upload/files/norm-dok/akad_savet/Pravilnik_akadem_dl.pdf</w:t>
                        </w:r>
                      </w:hyperlink>
                    </w:p>
                    <w:p w14:paraId="4A3D94D4" w14:textId="1A74A761" w:rsidR="00220468" w:rsidRPr="008D410C" w:rsidRDefault="00220468" w:rsidP="003276C8">
                      <w:pPr>
                        <w:spacing w:after="0" w:line="240" w:lineRule="auto"/>
                        <w:ind w:firstLine="510"/>
                        <w:rPr>
                          <w:sz w:val="18"/>
                          <w:szCs w:val="18"/>
                          <w:lang w:val="bg-BG"/>
                        </w:rPr>
                      </w:pPr>
                      <w:r w:rsidRPr="008D410C">
                        <w:rPr>
                          <w:sz w:val="18"/>
                          <w:szCs w:val="18"/>
                          <w:lang w:val="bg-BG"/>
                        </w:rPr>
                        <w:t>По отношение на подбора на кандидати се наблюдават някои слабости при определяне на критериите за избор на асистенти и се предвижда тези слабости да бъдат преодолени. Наред с това не се отчита мобилността и пост-докторантурата като етап в кариерното израстване. Този проблем също е предвидено да бъде решен в Плана за действие.</w:t>
                      </w:r>
                    </w:p>
                    <w:p w14:paraId="37835CB6" w14:textId="77777777" w:rsidR="00220468" w:rsidRPr="003276C8" w:rsidRDefault="00220468" w:rsidP="003276C8">
                      <w:pPr>
                        <w:spacing w:after="0" w:line="240" w:lineRule="auto"/>
                        <w:ind w:firstLine="340"/>
                        <w:rPr>
                          <w:sz w:val="18"/>
                          <w:szCs w:val="18"/>
                          <w:lang w:val="bg-BG"/>
                        </w:rPr>
                      </w:pPr>
                      <w:r w:rsidRPr="003276C8">
                        <w:rPr>
                          <w:sz w:val="18"/>
                          <w:szCs w:val="18"/>
                          <w:lang w:val="bg-BG"/>
                        </w:rPr>
                        <w:t>По отношение на качеството на научните изследвания се предвижда сега действащата</w:t>
                      </w:r>
                    </w:p>
                    <w:p w14:paraId="21CFEECA" w14:textId="4056F3B1" w:rsidR="00220468" w:rsidRPr="003276C8" w:rsidRDefault="00220468" w:rsidP="003276C8">
                      <w:pPr>
                        <w:spacing w:after="0" w:line="240" w:lineRule="auto"/>
                        <w:ind w:firstLine="340"/>
                        <w:rPr>
                          <w:sz w:val="18"/>
                          <w:szCs w:val="18"/>
                          <w:lang w:val="bg-BG"/>
                        </w:rPr>
                      </w:pPr>
                      <w:r w:rsidRPr="003276C8">
                        <w:rPr>
                          <w:rFonts w:eastAsia="Times New Roman"/>
                          <w:sz w:val="18"/>
                          <w:szCs w:val="18"/>
                          <w:lang w:val="bg-BG"/>
                        </w:rPr>
                        <w:t xml:space="preserve">Система за оценяване и поддържане на качеството на обучението и научните изследвания в ТУ-София – СОПКОНИ </w:t>
                      </w:r>
                      <w:hyperlink r:id="rId17" w:history="1">
                        <w:r w:rsidRPr="003276C8">
                          <w:rPr>
                            <w:color w:val="0000FF"/>
                            <w:sz w:val="18"/>
                            <w:szCs w:val="18"/>
                            <w:u w:val="single"/>
                          </w:rPr>
                          <w:t>https://tu-sofia.bg/kcfinder/upload/files/SOPKONI_17n.pdf</w:t>
                        </w:r>
                      </w:hyperlink>
                      <w:r w:rsidRPr="003276C8">
                        <w:rPr>
                          <w:color w:val="0000FF"/>
                          <w:sz w:val="18"/>
                          <w:szCs w:val="18"/>
                          <w:u w:val="single"/>
                          <w:lang w:val="bg-BG"/>
                        </w:rPr>
                        <w:t xml:space="preserve"> </w:t>
                      </w:r>
                      <w:r w:rsidRPr="003276C8">
                        <w:rPr>
                          <w:rFonts w:eastAsia="Times New Roman"/>
                          <w:sz w:val="18"/>
                          <w:szCs w:val="18"/>
                          <w:lang w:val="bg-BG"/>
                        </w:rPr>
                        <w:t>да бъде подобрена и синхронизирана с принципите на Хартата и Кодекса.</w:t>
                      </w:r>
                    </w:p>
                    <w:p w14:paraId="00B9243D" w14:textId="39C29306" w:rsidR="00220468" w:rsidRPr="003276C8" w:rsidRDefault="00220468" w:rsidP="003276C8">
                      <w:pPr>
                        <w:spacing w:after="0" w:line="240" w:lineRule="auto"/>
                        <w:ind w:left="6" w:firstLine="340"/>
                        <w:rPr>
                          <w:sz w:val="18"/>
                          <w:szCs w:val="18"/>
                          <w:lang w:val="bg-BG"/>
                        </w:rPr>
                      </w:pPr>
                      <w:r w:rsidRPr="003276C8">
                        <w:rPr>
                          <w:sz w:val="18"/>
                          <w:szCs w:val="18"/>
                          <w:lang w:val="bg-BG"/>
                        </w:rPr>
                        <w:t xml:space="preserve">Правилата за назначаване на комисии са уредени в националното законодателство и вътрешните наредби и правилници на ТУ-София. </w:t>
                      </w:r>
                      <w:r w:rsidRPr="003276C8">
                        <w:rPr>
                          <w:rFonts w:eastAsia="TimesNewRoman" w:cs="TimesNewRoman"/>
                          <w:sz w:val="18"/>
                          <w:szCs w:val="18"/>
                          <w:lang w:val="bg-BG"/>
                        </w:rPr>
                        <w:t>Членовете на комисиите за подбор са на различни нива на опит и компетентност</w:t>
                      </w:r>
                      <w:r w:rsidR="00395E3F">
                        <w:rPr>
                          <w:rFonts w:eastAsia="TimesNewRoman" w:cs="TimesNewRoman"/>
                          <w:sz w:val="18"/>
                          <w:szCs w:val="18"/>
                          <w:lang w:val="bg-BG"/>
                        </w:rPr>
                        <w:t>.</w:t>
                      </w:r>
                      <w:r w:rsidRPr="003276C8">
                        <w:rPr>
                          <w:rFonts w:eastAsia="TimesNewRoman,Bold"/>
                          <w:sz w:val="18"/>
                          <w:szCs w:val="18"/>
                          <w:lang w:val="bg-BG"/>
                        </w:rPr>
                        <w:t xml:space="preserve"> При подбора на членове на комисии</w:t>
                      </w:r>
                      <w:r w:rsidRPr="003276C8">
                        <w:rPr>
                          <w:rFonts w:eastAsia="TimesNewRoman" w:cs="TimesNewRoman"/>
                          <w:sz w:val="18"/>
                          <w:szCs w:val="18"/>
                          <w:lang w:val="bg-BG"/>
                        </w:rPr>
                        <w:t xml:space="preserve"> има баланс между мъже и жени. Основен критерии при подбор на членове на жури е научната област и степента на компетентност.</w:t>
                      </w:r>
                    </w:p>
                    <w:p w14:paraId="4B1B12F8" w14:textId="5A7AA1BB" w:rsidR="00220468" w:rsidRPr="003276C8" w:rsidRDefault="00220468" w:rsidP="003276C8">
                      <w:pPr>
                        <w:spacing w:after="0" w:line="240" w:lineRule="auto"/>
                        <w:ind w:left="6" w:firstLine="340"/>
                        <w:rPr>
                          <w:sz w:val="18"/>
                          <w:szCs w:val="18"/>
                          <w:lang w:val="bg-BG"/>
                        </w:rPr>
                      </w:pPr>
                      <w:r w:rsidRPr="003276C8">
                        <w:rPr>
                          <w:sz w:val="18"/>
                          <w:szCs w:val="18"/>
                          <w:lang w:val="bg-BG"/>
                        </w:rPr>
                        <w:t xml:space="preserve">Всички кандидати биват информирани за резултата след края на процедурата по кандидатстване. </w:t>
                      </w:r>
                    </w:p>
                    <w:p w14:paraId="0E482036" w14:textId="316E1C1E" w:rsidR="00220468" w:rsidRPr="003276C8" w:rsidRDefault="00220468" w:rsidP="003276C8">
                      <w:pPr>
                        <w:spacing w:after="0" w:line="240" w:lineRule="auto"/>
                        <w:ind w:left="6" w:firstLine="340"/>
                        <w:rPr>
                          <w:sz w:val="18"/>
                          <w:szCs w:val="18"/>
                          <w:lang w:val="bg-BG"/>
                        </w:rPr>
                      </w:pPr>
                      <w:r w:rsidRPr="003276C8">
                        <w:rPr>
                          <w:sz w:val="18"/>
                          <w:szCs w:val="18"/>
                          <w:lang w:val="bg-BG"/>
                        </w:rPr>
                        <w:t>По отношение на Етичните и професионални принципи се предвижда сега действащите вътрешно нормативни документи да бъдат хармонизирани с принципите на Хартата и Кодекса и да се проведат редица обучения. Всичко е подробно разписана в Плана за действие по-горе.</w:t>
                      </w:r>
                    </w:p>
                  </w:txbxContent>
                </v:textbox>
              </v:shape>
            </w:pict>
          </mc:Fallback>
        </mc:AlternateContent>
      </w:r>
    </w:p>
    <w:p w14:paraId="531EF077" w14:textId="7E6CE2DE" w:rsidR="0049191E" w:rsidRPr="003A46C9" w:rsidRDefault="00E73E32" w:rsidP="003A7DC1">
      <w:pPr>
        <w:ind w:left="-142"/>
        <w:jc w:val="both"/>
        <w:rPr>
          <w:rStyle w:val="required"/>
          <w:rFonts w:cs="Helvetica"/>
          <w:lang w:val="ru-RU"/>
        </w:rPr>
      </w:pPr>
      <w:r w:rsidRPr="003A46C9">
        <w:rPr>
          <w:rFonts w:cs="Helvetica"/>
          <w:lang w:val="ru-RU"/>
        </w:rPr>
        <w:t xml:space="preserve"> </w:t>
      </w:r>
    </w:p>
    <w:p w14:paraId="64FBE151" w14:textId="77777777" w:rsidR="00E73E32" w:rsidRPr="003A46C9" w:rsidRDefault="00E73E32" w:rsidP="003A7DC1">
      <w:pPr>
        <w:ind w:left="-142"/>
        <w:jc w:val="both"/>
        <w:rPr>
          <w:lang w:val="ru-RU"/>
        </w:rPr>
      </w:pPr>
    </w:p>
    <w:p w14:paraId="2DFFC355" w14:textId="77777777" w:rsidR="00E73E32" w:rsidRPr="003A46C9" w:rsidRDefault="00E73E32" w:rsidP="00614B90">
      <w:pPr>
        <w:ind w:left="-142"/>
        <w:jc w:val="both"/>
        <w:rPr>
          <w:lang w:val="ru-RU"/>
        </w:rPr>
      </w:pPr>
    </w:p>
    <w:p w14:paraId="47F564BA" w14:textId="2FDB4305" w:rsidR="00E73E32" w:rsidRDefault="00E73E32" w:rsidP="00614B90">
      <w:pPr>
        <w:ind w:left="-142"/>
        <w:jc w:val="both"/>
        <w:rPr>
          <w:lang w:val="ru-RU"/>
        </w:rPr>
      </w:pPr>
    </w:p>
    <w:p w14:paraId="09A6F35B" w14:textId="037432BC" w:rsidR="00220468" w:rsidRDefault="00220468" w:rsidP="00614B90">
      <w:pPr>
        <w:ind w:left="-142"/>
        <w:jc w:val="both"/>
        <w:rPr>
          <w:lang w:val="ru-RU"/>
        </w:rPr>
      </w:pPr>
    </w:p>
    <w:p w14:paraId="1BCB1850" w14:textId="3EEBE859" w:rsidR="00220468" w:rsidRDefault="00220468" w:rsidP="00614B90">
      <w:pPr>
        <w:ind w:left="-142"/>
        <w:jc w:val="both"/>
        <w:rPr>
          <w:lang w:val="ru-RU"/>
        </w:rPr>
      </w:pPr>
    </w:p>
    <w:p w14:paraId="7B3D6C54" w14:textId="1332F21C" w:rsidR="00220468" w:rsidRDefault="00220468" w:rsidP="00614B90">
      <w:pPr>
        <w:ind w:left="-142"/>
        <w:jc w:val="both"/>
        <w:rPr>
          <w:lang w:val="ru-RU"/>
        </w:rPr>
      </w:pPr>
    </w:p>
    <w:p w14:paraId="247ED6FE" w14:textId="34E71522" w:rsidR="00220468" w:rsidRDefault="00220468" w:rsidP="00614B90">
      <w:pPr>
        <w:ind w:left="-142"/>
        <w:jc w:val="both"/>
        <w:rPr>
          <w:lang w:val="ru-RU"/>
        </w:rPr>
      </w:pPr>
    </w:p>
    <w:p w14:paraId="20229AD6" w14:textId="38EBED3D" w:rsidR="00220468" w:rsidRDefault="00220468" w:rsidP="00614B90">
      <w:pPr>
        <w:ind w:left="-142"/>
        <w:jc w:val="both"/>
        <w:rPr>
          <w:lang w:val="ru-RU"/>
        </w:rPr>
      </w:pPr>
    </w:p>
    <w:p w14:paraId="4DF9137A" w14:textId="4E0C0555" w:rsidR="00220468" w:rsidRDefault="00220468" w:rsidP="00614B90">
      <w:pPr>
        <w:ind w:left="-142"/>
        <w:jc w:val="both"/>
        <w:rPr>
          <w:lang w:val="ru-RU"/>
        </w:rPr>
      </w:pPr>
    </w:p>
    <w:p w14:paraId="3E35628C" w14:textId="5DB5AB53" w:rsidR="00220468" w:rsidRDefault="00220468" w:rsidP="00614B90">
      <w:pPr>
        <w:ind w:left="-142"/>
        <w:jc w:val="both"/>
        <w:rPr>
          <w:lang w:val="ru-RU"/>
        </w:rPr>
      </w:pPr>
    </w:p>
    <w:p w14:paraId="2C260D09" w14:textId="167CA22E" w:rsidR="006C6058" w:rsidRPr="0013457F" w:rsidRDefault="00667B06" w:rsidP="00614B90">
      <w:pPr>
        <w:ind w:left="-142"/>
        <w:jc w:val="both"/>
        <w:rPr>
          <w:sz w:val="20"/>
          <w:lang w:val="ru-RU"/>
        </w:rPr>
      </w:pPr>
      <w:r w:rsidRPr="0013457F">
        <w:rPr>
          <w:sz w:val="20"/>
          <w:lang w:val="bg-BG"/>
        </w:rPr>
        <w:lastRenderedPageBreak/>
        <w:t xml:space="preserve">Ако вашата организация вече има стратегия за подбор, която прилага принципите за ОПП, моля да предоставите </w:t>
      </w:r>
      <w:r w:rsidR="002F7875" w:rsidRPr="0013457F">
        <w:rPr>
          <w:sz w:val="20"/>
          <w:lang w:val="bg-BG"/>
        </w:rPr>
        <w:t xml:space="preserve">уеб линк </w:t>
      </w:r>
      <w:r w:rsidR="004A3ABA" w:rsidRPr="0013457F">
        <w:rPr>
          <w:sz w:val="20"/>
          <w:lang w:val="bg-BG"/>
        </w:rPr>
        <w:t>към</w:t>
      </w:r>
      <w:r w:rsidR="002F7875" w:rsidRPr="0013457F">
        <w:rPr>
          <w:sz w:val="20"/>
          <w:lang w:val="bg-BG"/>
        </w:rPr>
        <w:t xml:space="preserve"> уеб страницата на организацията ви</w:t>
      </w:r>
      <w:r w:rsidRPr="0013457F">
        <w:rPr>
          <w:sz w:val="20"/>
          <w:lang w:val="bg-BG"/>
        </w:rPr>
        <w:t xml:space="preserve">, на който </w:t>
      </w:r>
      <w:r w:rsidR="004A3ABA" w:rsidRPr="0013457F">
        <w:rPr>
          <w:sz w:val="20"/>
          <w:lang w:val="bg-BG"/>
        </w:rPr>
        <w:t xml:space="preserve">тази стратегия </w:t>
      </w:r>
      <w:r w:rsidR="002F7875" w:rsidRPr="0013457F">
        <w:rPr>
          <w:sz w:val="20"/>
          <w:lang w:val="bg-BG"/>
        </w:rPr>
        <w:t>може да бъде открита</w:t>
      </w:r>
      <w:r w:rsidR="00CF7FCF" w:rsidRPr="0013457F">
        <w:rPr>
          <w:sz w:val="20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4452E" w14:paraId="7E9287DC" w14:textId="77777777" w:rsidTr="00CE5EEC">
        <w:tc>
          <w:tcPr>
            <w:tcW w:w="9288" w:type="dxa"/>
            <w:shd w:val="clear" w:color="auto" w:fill="auto"/>
          </w:tcPr>
          <w:p w14:paraId="4ACEE776" w14:textId="77777777" w:rsidR="0064452E" w:rsidRDefault="00CD2780" w:rsidP="00CE5EEC">
            <w:pPr>
              <w:jc w:val="both"/>
            </w:pPr>
            <w:r>
              <w:t xml:space="preserve">URL: </w:t>
            </w:r>
          </w:p>
        </w:tc>
      </w:tr>
    </w:tbl>
    <w:p w14:paraId="5672F5A3" w14:textId="77777777" w:rsidR="0064452E" w:rsidRDefault="0064452E" w:rsidP="006C6058">
      <w:pPr>
        <w:jc w:val="both"/>
      </w:pPr>
    </w:p>
    <w:p w14:paraId="13464BA7" w14:textId="371C6673" w:rsidR="006C6058" w:rsidRPr="006F2CA3" w:rsidRDefault="006C6058" w:rsidP="006C6058">
      <w:pPr>
        <w:rPr>
          <w:b/>
          <w:smallCaps/>
          <w:spacing w:val="5"/>
          <w:sz w:val="28"/>
          <w:szCs w:val="28"/>
          <w:lang w:val="fr-BE"/>
        </w:rPr>
      </w:pPr>
      <w:bookmarkStart w:id="20" w:name="_Toc428959137"/>
      <w:bookmarkStart w:id="21" w:name="_Toc430010051"/>
      <w:bookmarkStart w:id="22" w:name="_Toc439842257"/>
      <w:bookmarkStart w:id="23" w:name="_Toc439851277"/>
      <w:r w:rsidRPr="006F2CA3">
        <w:rPr>
          <w:b/>
          <w:smallCaps/>
          <w:spacing w:val="5"/>
          <w:sz w:val="28"/>
          <w:szCs w:val="28"/>
          <w:lang w:val="fr-BE"/>
        </w:rPr>
        <w:t xml:space="preserve">4. </w:t>
      </w:r>
      <w:r w:rsidR="00667B06">
        <w:rPr>
          <w:b/>
          <w:smallCaps/>
          <w:spacing w:val="5"/>
          <w:sz w:val="28"/>
          <w:szCs w:val="28"/>
          <w:lang w:val="bg-BG"/>
        </w:rPr>
        <w:t>Внедряване</w:t>
      </w:r>
      <w:r w:rsidRPr="006F2CA3">
        <w:rPr>
          <w:b/>
          <w:smallCaps/>
          <w:spacing w:val="5"/>
          <w:sz w:val="28"/>
          <w:szCs w:val="28"/>
          <w:lang w:val="fr-BE"/>
        </w:rPr>
        <w:t xml:space="preserve"> </w:t>
      </w:r>
      <w:bookmarkEnd w:id="20"/>
      <w:bookmarkEnd w:id="21"/>
      <w:bookmarkEnd w:id="22"/>
      <w:bookmarkEnd w:id="23"/>
    </w:p>
    <w:p w14:paraId="0AD10C8E" w14:textId="52246075" w:rsidR="00C05C8F" w:rsidRPr="003A46C9" w:rsidRDefault="00667B06" w:rsidP="006F2CA3">
      <w:pPr>
        <w:jc w:val="both"/>
        <w:rPr>
          <w:lang w:val="ru-RU"/>
        </w:rPr>
      </w:pPr>
      <w:r>
        <w:rPr>
          <w:lang w:val="bg-BG"/>
        </w:rPr>
        <w:t xml:space="preserve">Общ преглед на очаквания процес на внедряване: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C05C8F" w14:paraId="3A9B25D7" w14:textId="77777777" w:rsidTr="0013457F">
        <w:tc>
          <w:tcPr>
            <w:tcW w:w="9243" w:type="dxa"/>
            <w:shd w:val="clear" w:color="auto" w:fill="auto"/>
          </w:tcPr>
          <w:p w14:paraId="4A59C7D8" w14:textId="77777777" w:rsidR="0013457F" w:rsidRPr="003276C8" w:rsidRDefault="0013457F" w:rsidP="0013457F">
            <w:pPr>
              <w:spacing w:after="120" w:line="240" w:lineRule="auto"/>
              <w:ind w:firstLine="510"/>
              <w:rPr>
                <w:sz w:val="20"/>
                <w:lang w:val="bg-BG"/>
              </w:rPr>
            </w:pPr>
            <w:r w:rsidRPr="003276C8">
              <w:rPr>
                <w:sz w:val="20"/>
                <w:lang w:val="bg-BG"/>
              </w:rPr>
              <w:t>За успешното изпълнение на Плана за действие на ниво университет ще отговарят зам.-ректора по НПД, зам.-ректора по академичен състав и координация и Управителния съвет (</w:t>
            </w:r>
            <w:r w:rsidRPr="003276C8">
              <w:rPr>
                <w:sz w:val="20"/>
                <w:lang w:val="en-US"/>
              </w:rPr>
              <w:t>Steering Committee)</w:t>
            </w:r>
            <w:r w:rsidRPr="003276C8">
              <w:rPr>
                <w:sz w:val="20"/>
                <w:lang w:val="bg-BG"/>
              </w:rPr>
              <w:t>. Ще бъде определен и Съветът по внедряване, в който ще влизат</w:t>
            </w:r>
            <w:r w:rsidRPr="003276C8">
              <w:rPr>
                <w:sz w:val="20"/>
                <w:lang w:val="en-US"/>
              </w:rPr>
              <w:t xml:space="preserve"> </w:t>
            </w:r>
            <w:r w:rsidRPr="003276C8">
              <w:rPr>
                <w:sz w:val="20"/>
                <w:lang w:val="bg-BG"/>
              </w:rPr>
              <w:t xml:space="preserve">и членовете на </w:t>
            </w:r>
            <w:r w:rsidRPr="003276C8">
              <w:rPr>
                <w:sz w:val="20"/>
                <w:lang w:val="en-US"/>
              </w:rPr>
              <w:t>Steering Committee.</w:t>
            </w:r>
            <w:r w:rsidRPr="003276C8">
              <w:rPr>
                <w:sz w:val="20"/>
                <w:lang w:val="bg-BG"/>
              </w:rPr>
              <w:t xml:space="preserve"> Същевременно в рамките на всеки факултет пряко за изпълнение на Плана за действие ще отговарят Декана и зам.-декана по НПД, които са членове на работната група. Всички промени в нормативната уредба на университета се разглеждат и гласуват на Ректорски съвет и Академичен съвет (АС). Промените, които засягат отделните факултети се разглеждат и гласуват на катедрен и факултетен съвет – т.е. в процеса участват всички изследователи. Критериите, свързан с набирането и подбора на персонала се гласуват освен от АС и от Общото събрание на университета. Това показва, че по отношение на всички дейности в Плана за действие, свързани с разработване на нови или промяна на съществуващите политики и процедури за работа в университета, а също и по отношение на вътрешно нормативните актове има утвърдена процедура. В тези процеси участват представители и на четирите групи учени от R1 до R4 на всички факултети и звена на университета. Що се отнася до изпълнението на предвидени обучения, тяхното провеждане и постигнатите резултати ще са публично обявени на сайта на университета.</w:t>
            </w:r>
          </w:p>
          <w:p w14:paraId="715489E6" w14:textId="77777777" w:rsidR="0013457F" w:rsidRPr="003276C8" w:rsidRDefault="0013457F" w:rsidP="0013457F">
            <w:pPr>
              <w:spacing w:after="120" w:line="240" w:lineRule="auto"/>
              <w:ind w:firstLine="510"/>
              <w:rPr>
                <w:sz w:val="20"/>
                <w:lang w:val="bg-BG"/>
              </w:rPr>
            </w:pPr>
            <w:r w:rsidRPr="003276C8">
              <w:rPr>
                <w:sz w:val="20"/>
                <w:lang w:val="bg-BG"/>
              </w:rPr>
              <w:t xml:space="preserve">Наред с това изпълнението на поставените цели в съдържателно отношение, т.е. до каква степен подобрените документи са синхронизирани с </w:t>
            </w:r>
            <w:r w:rsidRPr="003276C8">
              <w:rPr>
                <w:sz w:val="20"/>
                <w:lang w:val="en-US"/>
              </w:rPr>
              <w:t>HRS4R</w:t>
            </w:r>
            <w:r w:rsidRPr="003276C8">
              <w:rPr>
                <w:sz w:val="20"/>
                <w:lang w:val="bg-BG"/>
              </w:rPr>
              <w:t>, ще може да бъде установено</w:t>
            </w:r>
            <w:r w:rsidRPr="003276C8">
              <w:rPr>
                <w:sz w:val="20"/>
                <w:lang w:val="en-US"/>
              </w:rPr>
              <w:t xml:space="preserve"> </w:t>
            </w:r>
            <w:r w:rsidRPr="003276C8">
              <w:rPr>
                <w:sz w:val="20"/>
                <w:lang w:val="bg-BG"/>
              </w:rPr>
              <w:t>бързо и лесно, тъй като всички вътрешно нормативни документи на ТУ-София се публикуват на вътрешната Интернет страница на университета и са достъпни за всички изследователи и служители.</w:t>
            </w:r>
          </w:p>
          <w:p w14:paraId="48B09D9B" w14:textId="30372E5D" w:rsidR="00C05C8F" w:rsidRPr="0013457F" w:rsidRDefault="0013457F" w:rsidP="0013457F">
            <w:pPr>
              <w:spacing w:after="120" w:line="240" w:lineRule="auto"/>
              <w:ind w:firstLine="510"/>
              <w:rPr>
                <w:lang w:val="bg-BG"/>
              </w:rPr>
            </w:pPr>
            <w:r w:rsidRPr="003276C8">
              <w:rPr>
                <w:sz w:val="20"/>
                <w:lang w:val="bg-BG"/>
              </w:rPr>
              <w:t>В Плана за действие са посочени точни, количествено измерими показатели и конкретни срокове, чрез които много лесно може да се проследи дали поставените цели са изпълнени в срок и степента, в която са постигнати резултатите.</w:t>
            </w:r>
          </w:p>
        </w:tc>
      </w:tr>
    </w:tbl>
    <w:p w14:paraId="475B9BC0" w14:textId="77777777" w:rsidR="003276C8" w:rsidRDefault="003276C8" w:rsidP="006F2CA3">
      <w:pPr>
        <w:jc w:val="both"/>
        <w:rPr>
          <w:lang w:val="bg-BG"/>
        </w:rPr>
      </w:pPr>
    </w:p>
    <w:p w14:paraId="53657907" w14:textId="30A1B9A4" w:rsidR="009C13B9" w:rsidRPr="003A46C9" w:rsidRDefault="00667B06" w:rsidP="006F2CA3">
      <w:pPr>
        <w:jc w:val="both"/>
        <w:rPr>
          <w:lang w:val="ru-RU"/>
        </w:rPr>
      </w:pPr>
      <w:r>
        <w:rPr>
          <w:lang w:val="bg-BG"/>
        </w:rPr>
        <w:t>Уверете се</w:t>
      </w:r>
      <w:r w:rsidR="00F046A6">
        <w:rPr>
          <w:lang w:val="bg-BG"/>
        </w:rPr>
        <w:t xml:space="preserve"> също така</w:t>
      </w:r>
      <w:r>
        <w:rPr>
          <w:lang w:val="bg-BG"/>
        </w:rPr>
        <w:t xml:space="preserve">, че </w:t>
      </w:r>
      <w:r w:rsidR="00F046A6">
        <w:rPr>
          <w:lang w:val="bg-BG"/>
        </w:rPr>
        <w:t xml:space="preserve">сте обхванали посочените </w:t>
      </w:r>
      <w:r>
        <w:rPr>
          <w:lang w:val="bg-BG"/>
        </w:rPr>
        <w:t>в списъка по-долу</w:t>
      </w:r>
      <w:r w:rsidR="00F046A6">
        <w:rPr>
          <w:lang w:val="bg-BG"/>
        </w:rPr>
        <w:t xml:space="preserve"> основни моменти</w:t>
      </w:r>
      <w:r>
        <w:rPr>
          <w:lang w:val="bg-BG"/>
        </w:rPr>
        <w:t xml:space="preserve">, които трябва подробно да опишете: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5568"/>
      </w:tblGrid>
      <w:tr w:rsidR="002049C5" w:rsidRPr="003A46C9" w14:paraId="3ACE9439" w14:textId="77777777" w:rsidTr="00DA5B26">
        <w:tc>
          <w:tcPr>
            <w:tcW w:w="3783" w:type="dxa"/>
            <w:shd w:val="clear" w:color="auto" w:fill="auto"/>
          </w:tcPr>
          <w:p w14:paraId="76E0D4EF" w14:textId="519A29BA" w:rsidR="002049C5" w:rsidRPr="00667B06" w:rsidRDefault="00667B06" w:rsidP="00CE5EEC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Списък</w:t>
            </w:r>
          </w:p>
        </w:tc>
        <w:tc>
          <w:tcPr>
            <w:tcW w:w="5568" w:type="dxa"/>
            <w:shd w:val="clear" w:color="auto" w:fill="auto"/>
          </w:tcPr>
          <w:p w14:paraId="2A55DB66" w14:textId="1E0F6781" w:rsidR="002049C5" w:rsidRPr="003A46C9" w:rsidRDefault="00C05C8F" w:rsidP="00667B06">
            <w:pPr>
              <w:jc w:val="center"/>
              <w:rPr>
                <w:lang w:val="ru-RU"/>
              </w:rPr>
            </w:pPr>
            <w:r w:rsidRPr="003A46C9">
              <w:rPr>
                <w:lang w:val="ru-RU"/>
              </w:rPr>
              <w:t>*</w:t>
            </w:r>
            <w:r w:rsidR="00F046A6">
              <w:rPr>
                <w:b/>
                <w:lang w:val="bg-BG"/>
              </w:rPr>
              <w:t>Подробно описание и подходяща</w:t>
            </w:r>
            <w:r w:rsidR="00667B06" w:rsidRPr="00667B06">
              <w:rPr>
                <w:b/>
                <w:lang w:val="bg-BG"/>
              </w:rPr>
              <w:t xml:space="preserve"> обосновка</w:t>
            </w:r>
            <w:r w:rsidR="00667B06">
              <w:rPr>
                <w:lang w:val="bg-BG"/>
              </w:rPr>
              <w:t xml:space="preserve"> </w:t>
            </w:r>
          </w:p>
        </w:tc>
      </w:tr>
      <w:tr w:rsidR="009C13B9" w14:paraId="38E48CC7" w14:textId="77777777" w:rsidTr="00DA5B26">
        <w:tc>
          <w:tcPr>
            <w:tcW w:w="3783" w:type="dxa"/>
            <w:shd w:val="clear" w:color="auto" w:fill="auto"/>
          </w:tcPr>
          <w:p w14:paraId="2CE03E8A" w14:textId="77777777" w:rsidR="009C13B9" w:rsidRPr="004D6603" w:rsidRDefault="00F046A6" w:rsidP="000C5CAB">
            <w:pPr>
              <w:spacing w:after="0" w:line="240" w:lineRule="auto"/>
              <w:rPr>
                <w:sz w:val="20"/>
                <w:lang w:val="bg-BG"/>
              </w:rPr>
            </w:pPr>
            <w:r w:rsidRPr="004D6603">
              <w:rPr>
                <w:sz w:val="20"/>
                <w:lang w:val="bg-BG"/>
              </w:rPr>
              <w:t>По какъв начин Съветът</w:t>
            </w:r>
            <w:r w:rsidR="00667B06" w:rsidRPr="004D6603">
              <w:rPr>
                <w:sz w:val="20"/>
                <w:lang w:val="bg-BG"/>
              </w:rPr>
              <w:t xml:space="preserve"> по внедряване и/или експ</w:t>
            </w:r>
            <w:r w:rsidRPr="004D6603">
              <w:rPr>
                <w:sz w:val="20"/>
                <w:lang w:val="bg-BG"/>
              </w:rPr>
              <w:t>ертната група ще следят напредъка</w:t>
            </w:r>
            <w:r w:rsidR="00667B06" w:rsidRPr="004D6603">
              <w:rPr>
                <w:sz w:val="20"/>
                <w:lang w:val="bg-BG"/>
              </w:rPr>
              <w:t>?</w:t>
            </w:r>
          </w:p>
          <w:p w14:paraId="22192314" w14:textId="08046D42" w:rsidR="00F046A6" w:rsidRPr="00667B06" w:rsidRDefault="00F046A6" w:rsidP="000C5CAB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5568" w:type="dxa"/>
            <w:shd w:val="clear" w:color="auto" w:fill="auto"/>
          </w:tcPr>
          <w:p w14:paraId="6F89121F" w14:textId="77777777" w:rsidR="00DA5B26" w:rsidRPr="00DA5B26" w:rsidRDefault="00DA5B26" w:rsidP="00DA5B26">
            <w:pPr>
              <w:spacing w:after="0" w:line="240" w:lineRule="auto"/>
              <w:ind w:firstLine="510"/>
              <w:rPr>
                <w:sz w:val="20"/>
                <w:lang w:val="bg-BG"/>
              </w:rPr>
            </w:pPr>
            <w:r w:rsidRPr="00DA5B26">
              <w:rPr>
                <w:sz w:val="20"/>
                <w:lang w:val="bg-BG"/>
              </w:rPr>
              <w:t xml:space="preserve">Съветът по внедряване и/или експертната група ще получават отчети на тримесечие за извършената работа до момента и постигнатите резултати от Работната група и останалите Отговорни звена, посочени в Плана за действие по-горе. Те от своя страна чрез зам.-ректорите по НПД и АСК ще докладват напредъка на Ректорски съвет и на Академичен съвет два пъти годишно. </w:t>
            </w:r>
          </w:p>
          <w:p w14:paraId="39637DF9" w14:textId="651EF425" w:rsidR="009C13B9" w:rsidRDefault="009C13B9" w:rsidP="00F046A6">
            <w:pPr>
              <w:spacing w:after="0" w:line="240" w:lineRule="auto"/>
              <w:jc w:val="both"/>
            </w:pPr>
          </w:p>
        </w:tc>
      </w:tr>
      <w:tr w:rsidR="009C13B9" w14:paraId="5E6C3A71" w14:textId="77777777" w:rsidTr="00DA5B26">
        <w:tc>
          <w:tcPr>
            <w:tcW w:w="3783" w:type="dxa"/>
            <w:shd w:val="clear" w:color="auto" w:fill="auto"/>
          </w:tcPr>
          <w:p w14:paraId="4514AFDB" w14:textId="77777777" w:rsidR="009C13B9" w:rsidRPr="004D6603" w:rsidRDefault="00667B06" w:rsidP="000C5CAB">
            <w:pPr>
              <w:spacing w:after="0" w:line="240" w:lineRule="auto"/>
              <w:rPr>
                <w:sz w:val="20"/>
                <w:lang w:val="bg-BG"/>
              </w:rPr>
            </w:pPr>
            <w:r w:rsidRPr="004D6603">
              <w:rPr>
                <w:sz w:val="20"/>
                <w:lang w:val="bg-BG"/>
              </w:rPr>
              <w:t>Как възнамерявате да включите научно-изследователската общност, основните заинтересовани страни, в процеса на внедряване?</w:t>
            </w:r>
          </w:p>
          <w:p w14:paraId="32F98789" w14:textId="3B5B9FF8" w:rsidR="00F046A6" w:rsidRPr="00667B06" w:rsidRDefault="00F046A6" w:rsidP="000C5CAB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5568" w:type="dxa"/>
            <w:shd w:val="clear" w:color="auto" w:fill="auto"/>
          </w:tcPr>
          <w:p w14:paraId="055A05F7" w14:textId="77777777" w:rsidR="00DA5B26" w:rsidRPr="004D6603" w:rsidRDefault="00DA5B26" w:rsidP="004D6603">
            <w:pPr>
              <w:spacing w:after="0" w:line="240" w:lineRule="auto"/>
              <w:ind w:firstLine="510"/>
              <w:rPr>
                <w:sz w:val="20"/>
                <w:lang w:val="bg-BG"/>
              </w:rPr>
            </w:pPr>
            <w:r w:rsidRPr="004D6603">
              <w:rPr>
                <w:sz w:val="20"/>
                <w:lang w:val="bg-BG"/>
              </w:rPr>
              <w:lastRenderedPageBreak/>
              <w:t xml:space="preserve">Съгласно вътрешно нормативната уредба на ТУ-София и установените правила всички изследователи участват при подготовка и изменение на политики, правила, процедури и вътрешно нормативни документи на различни етап от целия </w:t>
            </w:r>
            <w:r w:rsidRPr="004D6603">
              <w:rPr>
                <w:sz w:val="20"/>
                <w:lang w:val="bg-BG"/>
              </w:rPr>
              <w:lastRenderedPageBreak/>
              <w:t>процес. Провеждат се обсъждания по време на КС и ФС. Освен това членовете на Работната група се събират минимум два пъти годишно, за да координират своята дейност по факултети.</w:t>
            </w:r>
          </w:p>
          <w:p w14:paraId="69A37ACB" w14:textId="77777777" w:rsidR="00DA5B26" w:rsidRPr="004D6603" w:rsidRDefault="00DA5B26" w:rsidP="004D6603">
            <w:pPr>
              <w:spacing w:after="0" w:line="240" w:lineRule="auto"/>
              <w:ind w:firstLine="510"/>
              <w:rPr>
                <w:sz w:val="20"/>
                <w:lang w:val="bg-BG"/>
              </w:rPr>
            </w:pPr>
            <w:r w:rsidRPr="004D6603">
              <w:rPr>
                <w:sz w:val="20"/>
                <w:lang w:val="bg-BG"/>
              </w:rPr>
              <w:t>В предвижданите обучения ще бъдат включени представител на всички факултети и от всички нива на кариерно израстване на изследователите R1 до R4.</w:t>
            </w:r>
          </w:p>
          <w:p w14:paraId="29D1530F" w14:textId="11B91B53" w:rsidR="009C13B9" w:rsidRDefault="009C13B9" w:rsidP="00F046A6">
            <w:pPr>
              <w:spacing w:after="0" w:line="240" w:lineRule="auto"/>
              <w:jc w:val="both"/>
            </w:pPr>
          </w:p>
        </w:tc>
      </w:tr>
      <w:tr w:rsidR="00C05C8F" w14:paraId="3441DD4E" w14:textId="77777777" w:rsidTr="00DA5B26">
        <w:tc>
          <w:tcPr>
            <w:tcW w:w="3783" w:type="dxa"/>
            <w:shd w:val="clear" w:color="auto" w:fill="auto"/>
          </w:tcPr>
          <w:p w14:paraId="3B727BF7" w14:textId="77777777" w:rsidR="00C05C8F" w:rsidRPr="004D6603" w:rsidRDefault="00296538" w:rsidP="000C5CAB">
            <w:pPr>
              <w:spacing w:after="0" w:line="240" w:lineRule="auto"/>
              <w:rPr>
                <w:sz w:val="20"/>
                <w:lang w:val="bg-BG"/>
              </w:rPr>
            </w:pPr>
            <w:r w:rsidRPr="004D6603">
              <w:rPr>
                <w:sz w:val="20"/>
                <w:lang w:val="bg-BG"/>
              </w:rPr>
              <w:lastRenderedPageBreak/>
              <w:t>Какви мерки ще предприемете, за да хармонизирате политиките на организацията (университета) със Стратегията на ЕС за развитие на човешките ресурси по отношение на изследователите (HRS4R)?</w:t>
            </w:r>
            <w:r w:rsidR="009B1BF8" w:rsidRPr="004D6603">
              <w:rPr>
                <w:sz w:val="20"/>
                <w:lang w:val="bg-BG"/>
              </w:rPr>
              <w:t xml:space="preserve"> </w:t>
            </w:r>
            <w:r w:rsidR="00561FC8" w:rsidRPr="004D6603">
              <w:rPr>
                <w:sz w:val="20"/>
                <w:lang w:val="bg-BG"/>
              </w:rPr>
              <w:t>Трябва да гарантирате, че Стратегията за развитие на човешките ресурси е възприета като водеща политика при разработване на стратегията за развитие на научните изследвания на университета.</w:t>
            </w:r>
          </w:p>
          <w:p w14:paraId="790AF2A4" w14:textId="2E6D8ACC" w:rsidR="00F046A6" w:rsidRPr="003D0190" w:rsidRDefault="00F046A6" w:rsidP="000C5CAB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5568" w:type="dxa"/>
            <w:shd w:val="clear" w:color="auto" w:fill="auto"/>
          </w:tcPr>
          <w:p w14:paraId="4E4F4824" w14:textId="77777777" w:rsidR="00DA5B26" w:rsidRPr="004D6603" w:rsidRDefault="00DA5B26" w:rsidP="004D6603">
            <w:pPr>
              <w:spacing w:after="120" w:line="240" w:lineRule="auto"/>
              <w:ind w:firstLine="510"/>
              <w:rPr>
                <w:sz w:val="20"/>
                <w:lang w:val="bg-BG"/>
              </w:rPr>
            </w:pPr>
            <w:r w:rsidRPr="004D6603">
              <w:rPr>
                <w:sz w:val="20"/>
                <w:lang w:val="bg-BG"/>
              </w:rPr>
              <w:t>В плана за действие е посочено, че предстоят изменения във вътрешните разпоредби в съответствие с Хартата и Кодекса и по-специално в:</w:t>
            </w:r>
          </w:p>
          <w:p w14:paraId="528F62DF" w14:textId="77777777" w:rsidR="00DA5B26" w:rsidRPr="004D6603" w:rsidRDefault="00DA5B26" w:rsidP="004D6603">
            <w:pPr>
              <w:spacing w:after="120" w:line="240" w:lineRule="auto"/>
              <w:ind w:left="294" w:firstLine="510"/>
              <w:contextualSpacing/>
              <w:jc w:val="both"/>
              <w:rPr>
                <w:rFonts w:eastAsia="Times New Roman"/>
                <w:sz w:val="20"/>
                <w:szCs w:val="20"/>
                <w:lang w:val="bg-BG"/>
              </w:rPr>
            </w:pPr>
            <w:r w:rsidRPr="004D6603">
              <w:rPr>
                <w:rFonts w:eastAsia="Times New Roman"/>
                <w:sz w:val="20"/>
                <w:szCs w:val="20"/>
                <w:lang w:val="bg-BG"/>
              </w:rPr>
              <w:t>1) Правилник за устройството и дейността на ТУ-София;</w:t>
            </w:r>
          </w:p>
          <w:p w14:paraId="61D0DE06" w14:textId="2522F754" w:rsidR="00DA5B26" w:rsidRDefault="00DA5B26" w:rsidP="004D6603">
            <w:pPr>
              <w:spacing w:after="120" w:line="240" w:lineRule="auto"/>
              <w:ind w:left="294" w:firstLine="510"/>
              <w:contextualSpacing/>
              <w:jc w:val="both"/>
              <w:rPr>
                <w:rFonts w:eastAsia="Times New Roman"/>
                <w:sz w:val="20"/>
                <w:szCs w:val="20"/>
                <w:lang w:val="bg-BG"/>
              </w:rPr>
            </w:pPr>
            <w:r w:rsidRPr="004D6603">
              <w:rPr>
                <w:rFonts w:eastAsia="Times New Roman"/>
                <w:sz w:val="20"/>
                <w:szCs w:val="20"/>
                <w:lang w:val="bg-BG"/>
              </w:rPr>
              <w:t>2) Правилник за условията и реда за заемане на академични длъжности в ТУ-София.</w:t>
            </w:r>
          </w:p>
          <w:p w14:paraId="497719E5" w14:textId="77777777" w:rsidR="004D6603" w:rsidRPr="004D6603" w:rsidRDefault="004D6603" w:rsidP="004D6603">
            <w:pPr>
              <w:spacing w:after="120" w:line="240" w:lineRule="auto"/>
              <w:ind w:left="294" w:firstLine="510"/>
              <w:contextualSpacing/>
              <w:jc w:val="both"/>
              <w:rPr>
                <w:rFonts w:eastAsia="Times New Roman"/>
                <w:sz w:val="20"/>
                <w:szCs w:val="20"/>
                <w:lang w:val="bg-BG"/>
              </w:rPr>
            </w:pPr>
          </w:p>
          <w:p w14:paraId="20F9EB3E" w14:textId="4850A7E9" w:rsidR="00DA5B26" w:rsidRPr="004D6603" w:rsidRDefault="00DA5B26" w:rsidP="004D6603">
            <w:pPr>
              <w:spacing w:after="120" w:line="240" w:lineRule="auto"/>
              <w:ind w:firstLine="510"/>
              <w:rPr>
                <w:sz w:val="20"/>
                <w:lang w:val="bg-BG"/>
              </w:rPr>
            </w:pPr>
            <w:r w:rsidRPr="004D6603">
              <w:rPr>
                <w:sz w:val="20"/>
                <w:lang w:val="bg-BG"/>
              </w:rPr>
              <w:t>П</w:t>
            </w:r>
            <w:r w:rsidR="00395E3F">
              <w:rPr>
                <w:sz w:val="20"/>
                <w:lang w:val="bg-BG"/>
              </w:rPr>
              <w:t>ромените в тези два документа</w:t>
            </w:r>
            <w:r w:rsidRPr="004D6603">
              <w:rPr>
                <w:sz w:val="20"/>
                <w:lang w:val="bg-BG"/>
              </w:rPr>
              <w:t xml:space="preserve"> задължително се разглеждат и гласуват на АС и от ОС на университета. </w:t>
            </w:r>
          </w:p>
          <w:p w14:paraId="340B6581" w14:textId="5E7BCC08" w:rsidR="00C05C8F" w:rsidRDefault="00C05C8F" w:rsidP="00F046A6">
            <w:pPr>
              <w:spacing w:after="0" w:line="240" w:lineRule="auto"/>
              <w:jc w:val="both"/>
            </w:pPr>
          </w:p>
        </w:tc>
      </w:tr>
      <w:tr w:rsidR="009C13B9" w14:paraId="278270D8" w14:textId="77777777" w:rsidTr="00DA5B26">
        <w:tc>
          <w:tcPr>
            <w:tcW w:w="3783" w:type="dxa"/>
            <w:shd w:val="clear" w:color="auto" w:fill="auto"/>
          </w:tcPr>
          <w:p w14:paraId="346DED15" w14:textId="77777777" w:rsidR="009C13B9" w:rsidRPr="004D6603" w:rsidRDefault="003D0190" w:rsidP="000C5CAB">
            <w:pPr>
              <w:spacing w:after="0" w:line="240" w:lineRule="auto"/>
              <w:rPr>
                <w:sz w:val="20"/>
                <w:lang w:val="bg-BG"/>
              </w:rPr>
            </w:pPr>
            <w:r w:rsidRPr="004D6603">
              <w:rPr>
                <w:sz w:val="20"/>
                <w:lang w:val="bg-BG"/>
              </w:rPr>
              <w:t>Как ще се гарантира, че предложените действия са внедрени?</w:t>
            </w:r>
          </w:p>
          <w:p w14:paraId="2233D8B4" w14:textId="198F95AE" w:rsidR="00F046A6" w:rsidRPr="003D0190" w:rsidRDefault="00F046A6" w:rsidP="000C5CAB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5568" w:type="dxa"/>
            <w:shd w:val="clear" w:color="auto" w:fill="auto"/>
          </w:tcPr>
          <w:p w14:paraId="50FE7C72" w14:textId="77777777" w:rsidR="00DA5B26" w:rsidRPr="004D6603" w:rsidRDefault="00DA5B26" w:rsidP="004D6603">
            <w:pPr>
              <w:spacing w:after="0" w:line="240" w:lineRule="auto"/>
              <w:ind w:firstLine="510"/>
              <w:rPr>
                <w:sz w:val="20"/>
                <w:lang w:val="bg-BG"/>
              </w:rPr>
            </w:pPr>
            <w:r w:rsidRPr="004D6603">
              <w:rPr>
                <w:sz w:val="20"/>
                <w:lang w:val="bg-BG"/>
              </w:rPr>
              <w:t>Изпълнението на планираните дейности в Плана за действие ще бъде удостоверено както от самите документи, в които са направени промени по синхронизиране с Хартата и Кодекса, така и чрез Протоколите от заседанията на РС, АС и ОС.</w:t>
            </w:r>
          </w:p>
          <w:p w14:paraId="4DF8FDBA" w14:textId="77777777" w:rsidR="00DA5B26" w:rsidRPr="004D6603" w:rsidRDefault="00DA5B26" w:rsidP="004D6603">
            <w:pPr>
              <w:spacing w:after="0" w:line="240" w:lineRule="auto"/>
              <w:ind w:firstLine="510"/>
              <w:rPr>
                <w:sz w:val="20"/>
                <w:lang w:val="bg-BG"/>
              </w:rPr>
            </w:pPr>
            <w:r w:rsidRPr="004D6603">
              <w:rPr>
                <w:sz w:val="20"/>
                <w:lang w:val="bg-BG"/>
              </w:rPr>
              <w:t>Провеждането на обученията и информационните дни се удостоверява с присъствени списъци и снимки.</w:t>
            </w:r>
          </w:p>
          <w:p w14:paraId="642A9A04" w14:textId="77777777" w:rsidR="00DA5B26" w:rsidRPr="004D6603" w:rsidRDefault="00DA5B26" w:rsidP="004D6603">
            <w:pPr>
              <w:spacing w:after="0" w:line="240" w:lineRule="auto"/>
              <w:ind w:firstLine="510"/>
              <w:rPr>
                <w:sz w:val="20"/>
                <w:lang w:val="bg-BG"/>
              </w:rPr>
            </w:pPr>
            <w:r w:rsidRPr="004D6603">
              <w:rPr>
                <w:sz w:val="20"/>
                <w:lang w:val="bg-BG"/>
              </w:rPr>
              <w:t>Напредъкът по внедряване на заложените в Плана за действие дейности ще може да бъде проследено и от направените отчети на Отговорните звена, а също и от Докладите на Управителния съвет.</w:t>
            </w:r>
          </w:p>
          <w:p w14:paraId="3A0D33A1" w14:textId="661F11E5" w:rsidR="009C13B9" w:rsidRDefault="009C13B9" w:rsidP="004D6603">
            <w:pPr>
              <w:spacing w:after="0" w:line="240" w:lineRule="auto"/>
              <w:ind w:firstLine="510"/>
              <w:jc w:val="both"/>
            </w:pPr>
          </w:p>
        </w:tc>
      </w:tr>
      <w:tr w:rsidR="009C13B9" w14:paraId="662F9B18" w14:textId="77777777" w:rsidTr="00DA5B26">
        <w:tc>
          <w:tcPr>
            <w:tcW w:w="3783" w:type="dxa"/>
            <w:shd w:val="clear" w:color="auto" w:fill="auto"/>
          </w:tcPr>
          <w:p w14:paraId="53F98CB3" w14:textId="77777777" w:rsidR="009C13B9" w:rsidRPr="004D6603" w:rsidRDefault="003D0190" w:rsidP="000C5CAB">
            <w:pPr>
              <w:spacing w:after="0" w:line="240" w:lineRule="auto"/>
              <w:rPr>
                <w:sz w:val="20"/>
                <w:lang w:val="bg-BG"/>
              </w:rPr>
            </w:pPr>
            <w:r w:rsidRPr="004D6603">
              <w:rPr>
                <w:sz w:val="20"/>
                <w:lang w:val="bg-BG"/>
              </w:rPr>
              <w:t>Как ще бъде наблюдаван прогресът (във времето)?</w:t>
            </w:r>
          </w:p>
          <w:p w14:paraId="11F01BE2" w14:textId="0EB51529" w:rsidR="00F046A6" w:rsidRPr="004D6603" w:rsidRDefault="00F046A6" w:rsidP="000C5CAB">
            <w:pPr>
              <w:spacing w:after="0" w:line="240" w:lineRule="auto"/>
              <w:rPr>
                <w:sz w:val="20"/>
                <w:lang w:val="bg-BG"/>
              </w:rPr>
            </w:pPr>
          </w:p>
        </w:tc>
        <w:tc>
          <w:tcPr>
            <w:tcW w:w="5568" w:type="dxa"/>
            <w:shd w:val="clear" w:color="auto" w:fill="auto"/>
          </w:tcPr>
          <w:p w14:paraId="1DC5E35F" w14:textId="77777777" w:rsidR="00DA5B26" w:rsidRPr="004D6603" w:rsidRDefault="00DA5B26" w:rsidP="004D6603">
            <w:pPr>
              <w:spacing w:line="240" w:lineRule="auto"/>
              <w:ind w:firstLine="510"/>
              <w:rPr>
                <w:sz w:val="20"/>
                <w:lang w:val="bg-BG"/>
              </w:rPr>
            </w:pPr>
            <w:r w:rsidRPr="004D6603">
              <w:rPr>
                <w:sz w:val="20"/>
                <w:lang w:val="bg-BG"/>
              </w:rPr>
              <w:t>Процесът ще бъде наблюдаван и отчитан на Ректорски съвет на тримесечие.</w:t>
            </w:r>
          </w:p>
          <w:p w14:paraId="436A75A2" w14:textId="282B3CBD" w:rsidR="009C13B9" w:rsidRPr="004D6603" w:rsidRDefault="009C13B9" w:rsidP="004D6603">
            <w:pPr>
              <w:spacing w:after="0" w:line="240" w:lineRule="auto"/>
              <w:ind w:firstLine="510"/>
              <w:jc w:val="both"/>
              <w:rPr>
                <w:sz w:val="20"/>
              </w:rPr>
            </w:pPr>
          </w:p>
        </w:tc>
      </w:tr>
      <w:tr w:rsidR="009C13B9" w14:paraId="7A151A36" w14:textId="77777777" w:rsidTr="00DA5B26">
        <w:tc>
          <w:tcPr>
            <w:tcW w:w="3783" w:type="dxa"/>
            <w:shd w:val="clear" w:color="auto" w:fill="auto"/>
          </w:tcPr>
          <w:p w14:paraId="42A37AC0" w14:textId="77777777" w:rsidR="009C13B9" w:rsidRPr="004D6603" w:rsidRDefault="003D0190" w:rsidP="000C5CAB">
            <w:pPr>
              <w:spacing w:after="0" w:line="240" w:lineRule="auto"/>
              <w:rPr>
                <w:sz w:val="20"/>
                <w:lang w:val="bg-BG"/>
              </w:rPr>
            </w:pPr>
            <w:r w:rsidRPr="004D6603">
              <w:rPr>
                <w:sz w:val="20"/>
                <w:lang w:val="bg-BG"/>
              </w:rPr>
              <w:t>Как ще бъде изследван прогресът (индикатори) с оглед на следващото оценяване?</w:t>
            </w:r>
          </w:p>
          <w:p w14:paraId="4B5DE05A" w14:textId="734F41FD" w:rsidR="00F046A6" w:rsidRPr="004D6603" w:rsidRDefault="00F046A6" w:rsidP="000C5CAB">
            <w:pPr>
              <w:spacing w:after="0" w:line="240" w:lineRule="auto"/>
              <w:rPr>
                <w:sz w:val="20"/>
                <w:lang w:val="bg-BG"/>
              </w:rPr>
            </w:pPr>
          </w:p>
        </w:tc>
        <w:tc>
          <w:tcPr>
            <w:tcW w:w="5568" w:type="dxa"/>
            <w:shd w:val="clear" w:color="auto" w:fill="auto"/>
          </w:tcPr>
          <w:p w14:paraId="4F3145AF" w14:textId="55824536" w:rsidR="00DA5B26" w:rsidRPr="004D6603" w:rsidRDefault="00DA5B26" w:rsidP="004D6603">
            <w:pPr>
              <w:spacing w:after="0" w:line="240" w:lineRule="auto"/>
              <w:ind w:firstLine="510"/>
              <w:rPr>
                <w:sz w:val="20"/>
                <w:lang w:val="bg-BG"/>
              </w:rPr>
            </w:pPr>
            <w:r w:rsidRPr="004D6603">
              <w:rPr>
                <w:sz w:val="20"/>
                <w:lang w:val="bg-BG"/>
              </w:rPr>
              <w:t>Вече беше посочено, че в Плана за действие има количествени показатели и времеви интервал за оценка на постижението на целите. Качеството на</w:t>
            </w:r>
            <w:r w:rsidR="006B5010">
              <w:rPr>
                <w:sz w:val="20"/>
                <w:lang w:val="bg-BG"/>
              </w:rPr>
              <w:t xml:space="preserve"> изпълнение ще бъде проследявано</w:t>
            </w:r>
            <w:r w:rsidRPr="004D6603">
              <w:rPr>
                <w:sz w:val="20"/>
                <w:lang w:val="bg-BG"/>
              </w:rPr>
              <w:t xml:space="preserve"> чрез анализ на самите документи, публикувани на сайта.</w:t>
            </w:r>
          </w:p>
          <w:p w14:paraId="304B3BF1" w14:textId="6AD175F1" w:rsidR="00DA5B26" w:rsidRPr="004D6603" w:rsidRDefault="00DA5B26" w:rsidP="004D6603">
            <w:pPr>
              <w:spacing w:after="0" w:line="240" w:lineRule="auto"/>
              <w:ind w:firstLine="510"/>
              <w:rPr>
                <w:sz w:val="20"/>
                <w:lang w:val="bg-BG"/>
              </w:rPr>
            </w:pPr>
            <w:r w:rsidRPr="004D6603">
              <w:rPr>
                <w:sz w:val="20"/>
                <w:lang w:val="bg-BG"/>
              </w:rPr>
              <w:t xml:space="preserve">Наред с това, след две години ще бъде повторена проведената анкета сред изследователския персонал и служителите </w:t>
            </w:r>
            <w:r w:rsidR="006B5010">
              <w:rPr>
                <w:sz w:val="20"/>
                <w:lang w:val="bg-BG"/>
              </w:rPr>
              <w:t>и резултатите ще бъдат сравнени</w:t>
            </w:r>
            <w:r w:rsidRPr="004D6603">
              <w:rPr>
                <w:sz w:val="20"/>
                <w:lang w:val="bg-BG"/>
              </w:rPr>
              <w:t xml:space="preserve"> с тези, получени през 2019 г.</w:t>
            </w:r>
          </w:p>
          <w:p w14:paraId="6B74C777" w14:textId="4319C898" w:rsidR="009C13B9" w:rsidRPr="004D6603" w:rsidRDefault="009C13B9" w:rsidP="004D6603">
            <w:pPr>
              <w:spacing w:after="0" w:line="240" w:lineRule="auto"/>
              <w:ind w:firstLine="510"/>
              <w:jc w:val="both"/>
              <w:rPr>
                <w:sz w:val="20"/>
              </w:rPr>
            </w:pPr>
          </w:p>
        </w:tc>
      </w:tr>
    </w:tbl>
    <w:p w14:paraId="181CBC5D" w14:textId="77777777" w:rsidR="003276C8" w:rsidRDefault="003276C8" w:rsidP="003A7DC1">
      <w:pPr>
        <w:ind w:left="720" w:hanging="862"/>
        <w:jc w:val="both"/>
        <w:rPr>
          <w:lang w:val="bg-BG"/>
        </w:rPr>
      </w:pPr>
    </w:p>
    <w:p w14:paraId="6659A22D" w14:textId="0CD31015" w:rsidR="000A122C" w:rsidRPr="003A46C9" w:rsidRDefault="003D0190" w:rsidP="003A7DC1">
      <w:pPr>
        <w:ind w:left="720" w:hanging="862"/>
        <w:jc w:val="both"/>
        <w:rPr>
          <w:lang w:val="ru-RU"/>
        </w:rPr>
      </w:pPr>
      <w:r>
        <w:rPr>
          <w:lang w:val="bg-BG"/>
        </w:rPr>
        <w:t xml:space="preserve">Допълнителни забележки/коментари относно предложения процес на внедряване: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0A122C" w14:paraId="2ECEEDA3" w14:textId="77777777" w:rsidTr="003276C8">
        <w:tc>
          <w:tcPr>
            <w:tcW w:w="9351" w:type="dxa"/>
            <w:shd w:val="clear" w:color="auto" w:fill="auto"/>
          </w:tcPr>
          <w:p w14:paraId="41210895" w14:textId="33DB82EC" w:rsidR="000A122C" w:rsidRPr="004D6603" w:rsidRDefault="00DA5B26" w:rsidP="004D6603">
            <w:pPr>
              <w:spacing w:after="120" w:line="240" w:lineRule="auto"/>
              <w:ind w:firstLine="510"/>
              <w:rPr>
                <w:sz w:val="20"/>
                <w:lang w:val="bg-BG"/>
              </w:rPr>
            </w:pPr>
            <w:r w:rsidRPr="004D6603">
              <w:rPr>
                <w:sz w:val="20"/>
                <w:lang w:val="bg-BG"/>
              </w:rPr>
              <w:t>Предвидените мерки, сроковете, отговорните звена и показателите за постигане на целите са ясно посочени по-горе. При изпълнение на Плана за действие в максимална степен ще се използва добре изградената структура на университета и стриктно ще се следват изискванията на националното законодателство и вътрешно организационната нормативна уредба.</w:t>
            </w:r>
          </w:p>
          <w:p w14:paraId="2B531EBC" w14:textId="77777777" w:rsidR="000A122C" w:rsidRPr="004D6603" w:rsidRDefault="000A122C" w:rsidP="004D6603">
            <w:pPr>
              <w:spacing w:after="120" w:line="240" w:lineRule="auto"/>
              <w:ind w:firstLine="510"/>
              <w:jc w:val="both"/>
              <w:rPr>
                <w:sz w:val="20"/>
              </w:rPr>
            </w:pPr>
          </w:p>
        </w:tc>
      </w:tr>
    </w:tbl>
    <w:p w14:paraId="6F827456" w14:textId="77777777" w:rsidR="00D35933" w:rsidRPr="00042F64" w:rsidRDefault="00D35933" w:rsidP="006B5010">
      <w:pPr>
        <w:rPr>
          <w:lang w:val="en-US"/>
        </w:rPr>
      </w:pPr>
      <w:bookmarkStart w:id="24" w:name="_GoBack"/>
      <w:bookmarkEnd w:id="24"/>
    </w:p>
    <w:sectPr w:rsidR="00D35933" w:rsidRPr="00042F64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FD11C" w14:textId="77777777" w:rsidR="00D55143" w:rsidRDefault="00D55143" w:rsidP="006C6058">
      <w:pPr>
        <w:spacing w:after="0" w:line="240" w:lineRule="auto"/>
      </w:pPr>
      <w:r>
        <w:separator/>
      </w:r>
    </w:p>
  </w:endnote>
  <w:endnote w:type="continuationSeparator" w:id="0">
    <w:p w14:paraId="7B705627" w14:textId="77777777" w:rsidR="00D55143" w:rsidRDefault="00D55143" w:rsidP="006C6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3289E" w14:textId="1896D535" w:rsidR="002E2F68" w:rsidRDefault="002E2F68" w:rsidP="006A3BD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6D91">
      <w:rPr>
        <w:noProof/>
      </w:rPr>
      <w:t>14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35B61" w14:textId="77777777" w:rsidR="00D55143" w:rsidRDefault="00D55143" w:rsidP="006C6058">
      <w:pPr>
        <w:spacing w:after="0" w:line="240" w:lineRule="auto"/>
      </w:pPr>
      <w:r>
        <w:separator/>
      </w:r>
    </w:p>
  </w:footnote>
  <w:footnote w:type="continuationSeparator" w:id="0">
    <w:p w14:paraId="3E9E2842" w14:textId="77777777" w:rsidR="00D55143" w:rsidRDefault="00D55143" w:rsidP="006C6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B33"/>
    <w:multiLevelType w:val="hybridMultilevel"/>
    <w:tmpl w:val="0D4A261E"/>
    <w:lvl w:ilvl="0" w:tplc="FE7456F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C6A68"/>
    <w:multiLevelType w:val="hybridMultilevel"/>
    <w:tmpl w:val="11787474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D306B8"/>
    <w:multiLevelType w:val="hybridMultilevel"/>
    <w:tmpl w:val="03F639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8E16384"/>
    <w:multiLevelType w:val="hybridMultilevel"/>
    <w:tmpl w:val="F3FCC2CA"/>
    <w:lvl w:ilvl="0" w:tplc="FE7456F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6" w15:restartNumberingAfterBreak="0">
    <w:nsid w:val="13782662"/>
    <w:multiLevelType w:val="hybridMultilevel"/>
    <w:tmpl w:val="771CDDC0"/>
    <w:lvl w:ilvl="0" w:tplc="FACE60C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14A7D"/>
    <w:multiLevelType w:val="hybridMultilevel"/>
    <w:tmpl w:val="A38CAE58"/>
    <w:lvl w:ilvl="0" w:tplc="FE7456F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9" w15:restartNumberingAfterBreak="0">
    <w:nsid w:val="15756F83"/>
    <w:multiLevelType w:val="hybridMultilevel"/>
    <w:tmpl w:val="6D26B7CE"/>
    <w:lvl w:ilvl="0" w:tplc="DF2E8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071D8"/>
    <w:multiLevelType w:val="hybridMultilevel"/>
    <w:tmpl w:val="760C0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316B8"/>
    <w:multiLevelType w:val="hybridMultilevel"/>
    <w:tmpl w:val="ABD8313A"/>
    <w:lvl w:ilvl="0" w:tplc="3D148F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46EDD"/>
    <w:multiLevelType w:val="hybridMultilevel"/>
    <w:tmpl w:val="E94A43D4"/>
    <w:lvl w:ilvl="0" w:tplc="DF2E8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460DE"/>
    <w:multiLevelType w:val="hybridMultilevel"/>
    <w:tmpl w:val="52285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13EBE"/>
    <w:multiLevelType w:val="hybridMultilevel"/>
    <w:tmpl w:val="801E91B2"/>
    <w:lvl w:ilvl="0" w:tplc="DF2E8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6" w15:restartNumberingAfterBreak="0">
    <w:nsid w:val="25032A3A"/>
    <w:multiLevelType w:val="hybridMultilevel"/>
    <w:tmpl w:val="B8BECF8A"/>
    <w:lvl w:ilvl="0" w:tplc="CBB21D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CB3D12"/>
    <w:multiLevelType w:val="hybridMultilevel"/>
    <w:tmpl w:val="B90466DE"/>
    <w:lvl w:ilvl="0" w:tplc="FE7456FC">
      <w:start w:val="7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7C107F"/>
    <w:multiLevelType w:val="hybridMultilevel"/>
    <w:tmpl w:val="11148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E833B0"/>
    <w:multiLevelType w:val="hybridMultilevel"/>
    <w:tmpl w:val="C4186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21" w15:restartNumberingAfterBreak="0">
    <w:nsid w:val="308E6304"/>
    <w:multiLevelType w:val="hybridMultilevel"/>
    <w:tmpl w:val="AD7E4594"/>
    <w:lvl w:ilvl="0" w:tplc="FE7456F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0FAA"/>
    <w:multiLevelType w:val="hybridMultilevel"/>
    <w:tmpl w:val="545807AA"/>
    <w:lvl w:ilvl="0" w:tplc="FE7456FC">
      <w:start w:val="7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266250"/>
    <w:multiLevelType w:val="hybridMultilevel"/>
    <w:tmpl w:val="23B2DA0A"/>
    <w:lvl w:ilvl="0" w:tplc="3D148F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pStyle w:val="NumPar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5" w15:restartNumberingAfterBreak="0">
    <w:nsid w:val="3D594A91"/>
    <w:multiLevelType w:val="hybridMultilevel"/>
    <w:tmpl w:val="B0C28E3A"/>
    <w:lvl w:ilvl="0" w:tplc="FE7456F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30069A"/>
    <w:multiLevelType w:val="hybridMultilevel"/>
    <w:tmpl w:val="8548A628"/>
    <w:lvl w:ilvl="0" w:tplc="CBB21D9E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1594564"/>
    <w:multiLevelType w:val="hybridMultilevel"/>
    <w:tmpl w:val="91C016EA"/>
    <w:lvl w:ilvl="0" w:tplc="FE7456F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46B43AD2"/>
    <w:multiLevelType w:val="hybridMultilevel"/>
    <w:tmpl w:val="9C9204C0"/>
    <w:lvl w:ilvl="0" w:tplc="C368204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4" w15:restartNumberingAfterBreak="0">
    <w:nsid w:val="555B53CD"/>
    <w:multiLevelType w:val="hybridMultilevel"/>
    <w:tmpl w:val="87CE81D8"/>
    <w:lvl w:ilvl="0" w:tplc="CBB21D9E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5876E44"/>
    <w:multiLevelType w:val="hybridMultilevel"/>
    <w:tmpl w:val="F54035A2"/>
    <w:lvl w:ilvl="0" w:tplc="FE7456F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ED4A11"/>
    <w:multiLevelType w:val="hybridMultilevel"/>
    <w:tmpl w:val="32101852"/>
    <w:lvl w:ilvl="0" w:tplc="81AC336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C3FCA"/>
    <w:multiLevelType w:val="hybridMultilevel"/>
    <w:tmpl w:val="B71C3214"/>
    <w:lvl w:ilvl="0" w:tplc="3D148F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39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40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42" w15:restartNumberingAfterBreak="0">
    <w:nsid w:val="72EE6964"/>
    <w:multiLevelType w:val="hybridMultilevel"/>
    <w:tmpl w:val="62C48E40"/>
    <w:lvl w:ilvl="0" w:tplc="FE7456F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92F48"/>
    <w:multiLevelType w:val="hybridMultilevel"/>
    <w:tmpl w:val="33D25CC0"/>
    <w:lvl w:ilvl="0" w:tplc="3D148F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3729FE"/>
    <w:multiLevelType w:val="hybridMultilevel"/>
    <w:tmpl w:val="10D2968E"/>
    <w:lvl w:ilvl="0" w:tplc="AD763508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743D4"/>
    <w:multiLevelType w:val="hybridMultilevel"/>
    <w:tmpl w:val="97DC6A70"/>
    <w:lvl w:ilvl="0" w:tplc="FE7456F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2C0FCA"/>
    <w:multiLevelType w:val="hybridMultilevel"/>
    <w:tmpl w:val="F5AC53E2"/>
    <w:lvl w:ilvl="0" w:tplc="CBB21D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3"/>
    <w:lvlOverride w:ilvl="0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</w:num>
  <w:num w:numId="5">
    <w:abstractNumId w:val="14"/>
  </w:num>
  <w:num w:numId="6">
    <w:abstractNumId w:val="12"/>
  </w:num>
  <w:num w:numId="7">
    <w:abstractNumId w:val="9"/>
  </w:num>
  <w:num w:numId="8">
    <w:abstractNumId w:val="10"/>
  </w:num>
  <w:num w:numId="9">
    <w:abstractNumId w:val="20"/>
  </w:num>
  <w:num w:numId="10">
    <w:abstractNumId w:val="8"/>
  </w:num>
  <w:num w:numId="11">
    <w:abstractNumId w:val="5"/>
  </w:num>
  <w:num w:numId="12">
    <w:abstractNumId w:val="38"/>
  </w:num>
  <w:num w:numId="13">
    <w:abstractNumId w:val="40"/>
  </w:num>
  <w:num w:numId="14">
    <w:abstractNumId w:val="39"/>
  </w:num>
  <w:num w:numId="15">
    <w:abstractNumId w:val="41"/>
  </w:num>
  <w:num w:numId="16">
    <w:abstractNumId w:val="15"/>
  </w:num>
  <w:num w:numId="17">
    <w:abstractNumId w:val="30"/>
  </w:num>
  <w:num w:numId="18">
    <w:abstractNumId w:val="29"/>
  </w:num>
  <w:num w:numId="19">
    <w:abstractNumId w:val="3"/>
  </w:num>
  <w:num w:numId="20">
    <w:abstractNumId w:val="32"/>
  </w:num>
  <w:num w:numId="21">
    <w:abstractNumId w:val="16"/>
  </w:num>
  <w:num w:numId="22">
    <w:abstractNumId w:val="1"/>
  </w:num>
  <w:num w:numId="23">
    <w:abstractNumId w:val="6"/>
  </w:num>
  <w:num w:numId="24">
    <w:abstractNumId w:val="44"/>
  </w:num>
  <w:num w:numId="25">
    <w:abstractNumId w:val="36"/>
  </w:num>
  <w:num w:numId="26">
    <w:abstractNumId w:val="35"/>
  </w:num>
  <w:num w:numId="27">
    <w:abstractNumId w:val="21"/>
  </w:num>
  <w:num w:numId="28">
    <w:abstractNumId w:val="31"/>
  </w:num>
  <w:num w:numId="29">
    <w:abstractNumId w:val="26"/>
  </w:num>
  <w:num w:numId="30">
    <w:abstractNumId w:val="34"/>
  </w:num>
  <w:num w:numId="31">
    <w:abstractNumId w:val="22"/>
  </w:num>
  <w:num w:numId="32">
    <w:abstractNumId w:val="0"/>
  </w:num>
  <w:num w:numId="33">
    <w:abstractNumId w:val="11"/>
  </w:num>
  <w:num w:numId="34">
    <w:abstractNumId w:val="17"/>
  </w:num>
  <w:num w:numId="35">
    <w:abstractNumId w:val="4"/>
  </w:num>
  <w:num w:numId="36">
    <w:abstractNumId w:val="19"/>
  </w:num>
  <w:num w:numId="37">
    <w:abstractNumId w:val="43"/>
  </w:num>
  <w:num w:numId="38">
    <w:abstractNumId w:val="37"/>
  </w:num>
  <w:num w:numId="39">
    <w:abstractNumId w:val="7"/>
  </w:num>
  <w:num w:numId="40">
    <w:abstractNumId w:val="42"/>
  </w:num>
  <w:num w:numId="41">
    <w:abstractNumId w:val="46"/>
  </w:num>
  <w:num w:numId="42">
    <w:abstractNumId w:val="25"/>
  </w:num>
  <w:num w:numId="43">
    <w:abstractNumId w:val="45"/>
  </w:num>
  <w:num w:numId="44">
    <w:abstractNumId w:val="27"/>
  </w:num>
  <w:num w:numId="45">
    <w:abstractNumId w:val="13"/>
  </w:num>
  <w:num w:numId="46">
    <w:abstractNumId w:val="2"/>
  </w:num>
  <w:num w:numId="47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058"/>
    <w:rsid w:val="000174FB"/>
    <w:rsid w:val="00042F64"/>
    <w:rsid w:val="00067AE5"/>
    <w:rsid w:val="0007362A"/>
    <w:rsid w:val="00083810"/>
    <w:rsid w:val="00096D91"/>
    <w:rsid w:val="000A122C"/>
    <w:rsid w:val="000A6D2F"/>
    <w:rsid w:val="000C5CAB"/>
    <w:rsid w:val="000D468B"/>
    <w:rsid w:val="000F3AA2"/>
    <w:rsid w:val="000F4664"/>
    <w:rsid w:val="00102DCD"/>
    <w:rsid w:val="00124BF5"/>
    <w:rsid w:val="0013457F"/>
    <w:rsid w:val="00144875"/>
    <w:rsid w:val="00165784"/>
    <w:rsid w:val="0016679F"/>
    <w:rsid w:val="001B0760"/>
    <w:rsid w:val="001C6D80"/>
    <w:rsid w:val="001D0503"/>
    <w:rsid w:val="002049C5"/>
    <w:rsid w:val="002104DE"/>
    <w:rsid w:val="00220468"/>
    <w:rsid w:val="00221E85"/>
    <w:rsid w:val="00242668"/>
    <w:rsid w:val="00256F9B"/>
    <w:rsid w:val="00267D74"/>
    <w:rsid w:val="00270623"/>
    <w:rsid w:val="0027249F"/>
    <w:rsid w:val="00280F5F"/>
    <w:rsid w:val="00294417"/>
    <w:rsid w:val="00296538"/>
    <w:rsid w:val="002B026E"/>
    <w:rsid w:val="002B30D7"/>
    <w:rsid w:val="002B42EB"/>
    <w:rsid w:val="002B527F"/>
    <w:rsid w:val="002C217D"/>
    <w:rsid w:val="002E2F68"/>
    <w:rsid w:val="002F482D"/>
    <w:rsid w:val="002F7875"/>
    <w:rsid w:val="00303677"/>
    <w:rsid w:val="003121BB"/>
    <w:rsid w:val="0031697C"/>
    <w:rsid w:val="003276C8"/>
    <w:rsid w:val="0033057F"/>
    <w:rsid w:val="00343522"/>
    <w:rsid w:val="0034470C"/>
    <w:rsid w:val="00346EAC"/>
    <w:rsid w:val="003672A7"/>
    <w:rsid w:val="00395E3F"/>
    <w:rsid w:val="003A35D6"/>
    <w:rsid w:val="003A46C9"/>
    <w:rsid w:val="003A7DC1"/>
    <w:rsid w:val="003B11ED"/>
    <w:rsid w:val="003D0190"/>
    <w:rsid w:val="003E3147"/>
    <w:rsid w:val="00407DE1"/>
    <w:rsid w:val="0041166E"/>
    <w:rsid w:val="00411E78"/>
    <w:rsid w:val="0043664A"/>
    <w:rsid w:val="0049191E"/>
    <w:rsid w:val="00492511"/>
    <w:rsid w:val="004A00F8"/>
    <w:rsid w:val="004A1D5B"/>
    <w:rsid w:val="004A3ABA"/>
    <w:rsid w:val="004B1E37"/>
    <w:rsid w:val="004C12A2"/>
    <w:rsid w:val="004D6603"/>
    <w:rsid w:val="004E3C85"/>
    <w:rsid w:val="00501ED5"/>
    <w:rsid w:val="005126E1"/>
    <w:rsid w:val="005420D2"/>
    <w:rsid w:val="005444EF"/>
    <w:rsid w:val="00561FC8"/>
    <w:rsid w:val="00574FA6"/>
    <w:rsid w:val="005C2A39"/>
    <w:rsid w:val="005D1A2F"/>
    <w:rsid w:val="005D5D17"/>
    <w:rsid w:val="005E7B97"/>
    <w:rsid w:val="005F46A7"/>
    <w:rsid w:val="00614B90"/>
    <w:rsid w:val="00630317"/>
    <w:rsid w:val="0064452E"/>
    <w:rsid w:val="00650F6B"/>
    <w:rsid w:val="006664C5"/>
    <w:rsid w:val="00667B06"/>
    <w:rsid w:val="00677ACA"/>
    <w:rsid w:val="00695810"/>
    <w:rsid w:val="006A3BD5"/>
    <w:rsid w:val="006B187D"/>
    <w:rsid w:val="006B5010"/>
    <w:rsid w:val="006C6058"/>
    <w:rsid w:val="006E2D75"/>
    <w:rsid w:val="006F2CA3"/>
    <w:rsid w:val="00705AB0"/>
    <w:rsid w:val="007076D6"/>
    <w:rsid w:val="0072538B"/>
    <w:rsid w:val="00726DB8"/>
    <w:rsid w:val="007569F1"/>
    <w:rsid w:val="00765D13"/>
    <w:rsid w:val="007718D0"/>
    <w:rsid w:val="007739A6"/>
    <w:rsid w:val="00786CE2"/>
    <w:rsid w:val="00787187"/>
    <w:rsid w:val="00791F8A"/>
    <w:rsid w:val="007B46BE"/>
    <w:rsid w:val="007D2431"/>
    <w:rsid w:val="00800C0F"/>
    <w:rsid w:val="0080515D"/>
    <w:rsid w:val="00820DD4"/>
    <w:rsid w:val="00830497"/>
    <w:rsid w:val="00837705"/>
    <w:rsid w:val="0087083A"/>
    <w:rsid w:val="008712BD"/>
    <w:rsid w:val="008801AC"/>
    <w:rsid w:val="008833C1"/>
    <w:rsid w:val="008A6E53"/>
    <w:rsid w:val="008B71BE"/>
    <w:rsid w:val="008D410C"/>
    <w:rsid w:val="008E5DA4"/>
    <w:rsid w:val="008F219D"/>
    <w:rsid w:val="008F615E"/>
    <w:rsid w:val="009164B3"/>
    <w:rsid w:val="009229A9"/>
    <w:rsid w:val="0095321E"/>
    <w:rsid w:val="00955000"/>
    <w:rsid w:val="00971C9F"/>
    <w:rsid w:val="0097680A"/>
    <w:rsid w:val="009A0047"/>
    <w:rsid w:val="009A5403"/>
    <w:rsid w:val="009B056C"/>
    <w:rsid w:val="009B1BF8"/>
    <w:rsid w:val="009B2F02"/>
    <w:rsid w:val="009B43ED"/>
    <w:rsid w:val="009B53B6"/>
    <w:rsid w:val="009C13B9"/>
    <w:rsid w:val="009C2F31"/>
    <w:rsid w:val="009F7291"/>
    <w:rsid w:val="00A05B28"/>
    <w:rsid w:val="00A15D95"/>
    <w:rsid w:val="00A22FC1"/>
    <w:rsid w:val="00A41C93"/>
    <w:rsid w:val="00A4442B"/>
    <w:rsid w:val="00A64F57"/>
    <w:rsid w:val="00A803B0"/>
    <w:rsid w:val="00AA5B70"/>
    <w:rsid w:val="00AC19A4"/>
    <w:rsid w:val="00AC35C1"/>
    <w:rsid w:val="00AC70BB"/>
    <w:rsid w:val="00AD68C6"/>
    <w:rsid w:val="00AE6D51"/>
    <w:rsid w:val="00B32764"/>
    <w:rsid w:val="00B43702"/>
    <w:rsid w:val="00B54DFD"/>
    <w:rsid w:val="00B74EEF"/>
    <w:rsid w:val="00B773CE"/>
    <w:rsid w:val="00B87E72"/>
    <w:rsid w:val="00BA1A9E"/>
    <w:rsid w:val="00BC207B"/>
    <w:rsid w:val="00BC57EC"/>
    <w:rsid w:val="00BC79AB"/>
    <w:rsid w:val="00C004AC"/>
    <w:rsid w:val="00C05C8F"/>
    <w:rsid w:val="00C40E84"/>
    <w:rsid w:val="00C45F31"/>
    <w:rsid w:val="00C515ED"/>
    <w:rsid w:val="00C532E3"/>
    <w:rsid w:val="00C54C3D"/>
    <w:rsid w:val="00C57DDC"/>
    <w:rsid w:val="00C618FE"/>
    <w:rsid w:val="00C70390"/>
    <w:rsid w:val="00C7568E"/>
    <w:rsid w:val="00C7627A"/>
    <w:rsid w:val="00C87818"/>
    <w:rsid w:val="00C94DBB"/>
    <w:rsid w:val="00CB3820"/>
    <w:rsid w:val="00CD2780"/>
    <w:rsid w:val="00CE5EEC"/>
    <w:rsid w:val="00CF3D55"/>
    <w:rsid w:val="00CF7FCF"/>
    <w:rsid w:val="00D27F67"/>
    <w:rsid w:val="00D33992"/>
    <w:rsid w:val="00D35933"/>
    <w:rsid w:val="00D518E1"/>
    <w:rsid w:val="00D55143"/>
    <w:rsid w:val="00D57EA2"/>
    <w:rsid w:val="00D65261"/>
    <w:rsid w:val="00DA33EC"/>
    <w:rsid w:val="00DA5B26"/>
    <w:rsid w:val="00DB03B7"/>
    <w:rsid w:val="00DC4437"/>
    <w:rsid w:val="00DD05D6"/>
    <w:rsid w:val="00DD202B"/>
    <w:rsid w:val="00DF09E5"/>
    <w:rsid w:val="00E02AB3"/>
    <w:rsid w:val="00E2167E"/>
    <w:rsid w:val="00E2576C"/>
    <w:rsid w:val="00E31A42"/>
    <w:rsid w:val="00E32DF5"/>
    <w:rsid w:val="00E5132D"/>
    <w:rsid w:val="00E73E32"/>
    <w:rsid w:val="00E95503"/>
    <w:rsid w:val="00EC611B"/>
    <w:rsid w:val="00ED74D5"/>
    <w:rsid w:val="00F046A6"/>
    <w:rsid w:val="00F052B6"/>
    <w:rsid w:val="00F12033"/>
    <w:rsid w:val="00F51FB2"/>
    <w:rsid w:val="00F85E34"/>
    <w:rsid w:val="00FA4A23"/>
    <w:rsid w:val="00FC3B1C"/>
    <w:rsid w:val="00FE6493"/>
    <w:rsid w:val="00FF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04F2E"/>
  <w15:chartTrackingRefBased/>
  <w15:docId w15:val="{6DE444C1-B306-480C-86F1-1EE4439F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05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058"/>
    <w:pPr>
      <w:keepNext/>
      <w:spacing w:before="240" w:after="60"/>
      <w:jc w:val="center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605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605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605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6058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6058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C605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6058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C605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C60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6C605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C605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6C605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6C6058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link w:val="Heading7"/>
    <w:uiPriority w:val="9"/>
    <w:rsid w:val="006C6058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rsid w:val="006C605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6C6058"/>
    <w:rPr>
      <w:rFonts w:ascii="Cambria" w:eastAsia="Times New Roman" w:hAnsi="Cambria" w:cs="Times New Roman"/>
    </w:rPr>
  </w:style>
  <w:style w:type="numbering" w:customStyle="1" w:styleId="NoList1">
    <w:name w:val="No List1"/>
    <w:next w:val="NoList"/>
    <w:uiPriority w:val="99"/>
    <w:semiHidden/>
    <w:unhideWhenUsed/>
    <w:rsid w:val="006C6058"/>
  </w:style>
  <w:style w:type="paragraph" w:styleId="FootnoteText">
    <w:name w:val="footnote text"/>
    <w:aliases w:val="Footnote Text Char1,Schriftart: 9 pt,Schriftart: 10 pt,Schriftart: 8 pt,WB-Fußnotentext,Reference,Fußnote,fn,Footnote Text Char2,Footnote Text Char Char1,Footnote Text Char1 Char Char,Footnote Text Char Char Char Char,Ch"/>
    <w:basedOn w:val="Normal"/>
    <w:link w:val="FootnoteTextChar"/>
    <w:uiPriority w:val="99"/>
    <w:qFormat/>
    <w:rsid w:val="006C6058"/>
    <w:pPr>
      <w:spacing w:before="100" w:beforeAutospacing="1" w:after="100" w:afterAutospacing="1" w:line="240" w:lineRule="auto"/>
      <w:ind w:left="357" w:hanging="357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aliases w:val="Footnote Text Char1 Char,Schriftart: 9 pt Char,Schriftart: 10 pt Char,Schriftart: 8 pt Char,WB-Fußnotentext Char,Reference Char,Fußnote Char,fn Char,Footnote Text Char2 Char,Footnote Text Char Char1 Char,Ch Char"/>
    <w:link w:val="FootnoteText"/>
    <w:uiPriority w:val="99"/>
    <w:rsid w:val="006C605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6C6058"/>
    <w:rPr>
      <w:color w:val="0000FF"/>
      <w:u w:val="single"/>
    </w:rPr>
  </w:style>
  <w:style w:type="character" w:styleId="FootnoteReference">
    <w:name w:val="footnote reference"/>
    <w:uiPriority w:val="99"/>
    <w:rsid w:val="006C6058"/>
    <w:rPr>
      <w:vertAlign w:val="superscript"/>
    </w:rPr>
  </w:style>
  <w:style w:type="character" w:customStyle="1" w:styleId="Indent2">
    <w:name w:val="Indent 2"/>
    <w:basedOn w:val="DefaultParagraphFont"/>
    <w:rsid w:val="006C6058"/>
  </w:style>
  <w:style w:type="paragraph" w:customStyle="1" w:styleId="Text2">
    <w:name w:val="Text 2"/>
    <w:basedOn w:val="Normal"/>
    <w:link w:val="Text2Char1"/>
    <w:rsid w:val="006C6058"/>
    <w:pPr>
      <w:tabs>
        <w:tab w:val="left" w:pos="2160"/>
      </w:tabs>
      <w:spacing w:before="100" w:beforeAutospacing="1" w:after="100" w:afterAutospacing="1" w:line="240" w:lineRule="auto"/>
      <w:ind w:left="107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xt2Char1">
    <w:name w:val="Text 2 Char1"/>
    <w:link w:val="Text2"/>
    <w:rsid w:val="006C6058"/>
    <w:rPr>
      <w:rFonts w:ascii="Times New Roman" w:eastAsia="Times New Roman" w:hAnsi="Times New Roman" w:cs="Times New Roman"/>
      <w:sz w:val="24"/>
      <w:szCs w:val="20"/>
    </w:rPr>
  </w:style>
  <w:style w:type="paragraph" w:customStyle="1" w:styleId="Text1">
    <w:name w:val="Text 1"/>
    <w:basedOn w:val="Normal"/>
    <w:link w:val="Text1Char"/>
    <w:rsid w:val="006C605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sz w:val="24"/>
      <w:szCs w:val="20"/>
    </w:rPr>
  </w:style>
  <w:style w:type="character" w:customStyle="1" w:styleId="Text1Char">
    <w:name w:val="Text 1 Char"/>
    <w:link w:val="Text1"/>
    <w:rsid w:val="006C6058"/>
    <w:rPr>
      <w:rFonts w:ascii="Times New Roman" w:eastAsia="Times New Roman" w:hAnsi="Times New Roman" w:cs="Times New Roman"/>
      <w:b/>
      <w:sz w:val="24"/>
      <w:szCs w:val="20"/>
    </w:rPr>
  </w:style>
  <w:style w:type="paragraph" w:styleId="TOCHeading">
    <w:name w:val="TOC Heading"/>
    <w:basedOn w:val="Normal"/>
    <w:next w:val="Normal"/>
    <w:qFormat/>
    <w:rsid w:val="006C6058"/>
    <w:pPr>
      <w:keepNext/>
      <w:spacing w:before="240" w:after="24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styleId="TOC1">
    <w:name w:val="toc 1"/>
    <w:basedOn w:val="Normal"/>
    <w:next w:val="Normal"/>
    <w:uiPriority w:val="39"/>
    <w:qFormat/>
    <w:rsid w:val="006C6058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/>
      <w:caps/>
      <w:sz w:val="24"/>
      <w:szCs w:val="20"/>
    </w:rPr>
  </w:style>
  <w:style w:type="paragraph" w:styleId="TOC2">
    <w:name w:val="toc 2"/>
    <w:basedOn w:val="Normal"/>
    <w:next w:val="Normal"/>
    <w:uiPriority w:val="39"/>
    <w:qFormat/>
    <w:rsid w:val="006C6058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/>
      <w:sz w:val="24"/>
      <w:szCs w:val="20"/>
    </w:rPr>
  </w:style>
  <w:style w:type="paragraph" w:styleId="TOC3">
    <w:name w:val="toc 3"/>
    <w:basedOn w:val="Normal"/>
    <w:next w:val="Normal"/>
    <w:uiPriority w:val="39"/>
    <w:qFormat/>
    <w:rsid w:val="006C6058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05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6058"/>
    <w:rPr>
      <w:rFonts w:ascii="Arial" w:eastAsia="Calibri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60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C605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C60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C6058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6C6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605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C605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0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C6058"/>
    <w:rPr>
      <w:rFonts w:ascii="Calibri" w:eastAsia="Calibri" w:hAnsi="Calibri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C6058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6C6058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6C6058"/>
    <w:rPr>
      <w:vertAlign w:val="superscript"/>
    </w:rPr>
  </w:style>
  <w:style w:type="paragraph" w:styleId="NoSpacing">
    <w:name w:val="No Spacing"/>
    <w:uiPriority w:val="1"/>
    <w:qFormat/>
    <w:rsid w:val="006C6058"/>
    <w:rPr>
      <w:sz w:val="22"/>
      <w:szCs w:val="22"/>
      <w:lang w:val="en-GB"/>
    </w:rPr>
  </w:style>
  <w:style w:type="character" w:styleId="FollowedHyperlink">
    <w:name w:val="FollowedHyperlink"/>
    <w:uiPriority w:val="99"/>
    <w:semiHidden/>
    <w:unhideWhenUsed/>
    <w:rsid w:val="006C6058"/>
    <w:rPr>
      <w:color w:val="800080"/>
      <w:u w:val="single"/>
    </w:rPr>
  </w:style>
  <w:style w:type="paragraph" w:customStyle="1" w:styleId="Contact">
    <w:name w:val="Contact"/>
    <w:basedOn w:val="Normal"/>
    <w:next w:val="Normal"/>
    <w:rsid w:val="006C6058"/>
    <w:pPr>
      <w:spacing w:before="480" w:after="0" w:line="240" w:lineRule="auto"/>
      <w:ind w:left="567" w:hanging="567"/>
    </w:pPr>
    <w:rPr>
      <w:rFonts w:ascii="Times New Roman" w:eastAsia="Times New Roman" w:hAnsi="Times New Roman"/>
      <w:sz w:val="24"/>
      <w:szCs w:val="20"/>
    </w:rPr>
  </w:style>
  <w:style w:type="paragraph" w:styleId="ListBullet">
    <w:name w:val="List Bullet"/>
    <w:basedOn w:val="Normal"/>
    <w:rsid w:val="006C6058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Bullet1">
    <w:name w:val="List Bullet 1"/>
    <w:basedOn w:val="Text1"/>
    <w:rsid w:val="006C6058"/>
    <w:pPr>
      <w:numPr>
        <w:numId w:val="4"/>
      </w:numPr>
      <w:tabs>
        <w:tab w:val="clear" w:pos="765"/>
        <w:tab w:val="num" w:pos="360"/>
      </w:tabs>
      <w:spacing w:before="0" w:beforeAutospacing="0" w:after="240" w:afterAutospacing="0"/>
      <w:ind w:left="0" w:firstLine="0"/>
    </w:pPr>
    <w:rPr>
      <w:b w:val="0"/>
    </w:rPr>
  </w:style>
  <w:style w:type="paragraph" w:styleId="ListBullet2">
    <w:name w:val="List Bullet 2"/>
    <w:basedOn w:val="Text2"/>
    <w:rsid w:val="006C6058"/>
    <w:pPr>
      <w:numPr>
        <w:numId w:val="9"/>
      </w:numPr>
      <w:tabs>
        <w:tab w:val="clear" w:pos="1360"/>
        <w:tab w:val="clear" w:pos="2160"/>
        <w:tab w:val="num" w:pos="360"/>
      </w:tabs>
      <w:spacing w:before="0" w:beforeAutospacing="0" w:after="240" w:afterAutospacing="0"/>
      <w:ind w:left="1077" w:firstLine="0"/>
    </w:pPr>
  </w:style>
  <w:style w:type="paragraph" w:styleId="ListBullet3">
    <w:name w:val="List Bullet 3"/>
    <w:basedOn w:val="Normal"/>
    <w:rsid w:val="006C6058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ListBullet4">
    <w:name w:val="List Bullet 4"/>
    <w:basedOn w:val="Normal"/>
    <w:rsid w:val="006C6058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Dash">
    <w:name w:val="List Dash"/>
    <w:basedOn w:val="Normal"/>
    <w:rsid w:val="006C6058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Dash1">
    <w:name w:val="List Dash 1"/>
    <w:basedOn w:val="Text1"/>
    <w:rsid w:val="006C6058"/>
    <w:pPr>
      <w:numPr>
        <w:numId w:val="13"/>
      </w:numPr>
      <w:tabs>
        <w:tab w:val="clear" w:pos="765"/>
        <w:tab w:val="num" w:pos="360"/>
      </w:tabs>
      <w:spacing w:before="0" w:beforeAutospacing="0" w:after="240" w:afterAutospacing="0"/>
      <w:ind w:left="0" w:firstLine="0"/>
    </w:pPr>
    <w:rPr>
      <w:b w:val="0"/>
    </w:rPr>
  </w:style>
  <w:style w:type="paragraph" w:customStyle="1" w:styleId="ListDash2">
    <w:name w:val="List Dash 2"/>
    <w:basedOn w:val="Text2"/>
    <w:rsid w:val="006C6058"/>
    <w:pPr>
      <w:numPr>
        <w:numId w:val="14"/>
      </w:numPr>
      <w:tabs>
        <w:tab w:val="clear" w:pos="1360"/>
        <w:tab w:val="clear" w:pos="2160"/>
        <w:tab w:val="num" w:pos="360"/>
      </w:tabs>
      <w:spacing w:before="0" w:beforeAutospacing="0" w:after="240" w:afterAutospacing="0"/>
      <w:ind w:left="1077" w:firstLine="0"/>
    </w:pPr>
  </w:style>
  <w:style w:type="paragraph" w:customStyle="1" w:styleId="ListDash3">
    <w:name w:val="List Dash 3"/>
    <w:basedOn w:val="Normal"/>
    <w:rsid w:val="006C6058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Dash4">
    <w:name w:val="List Dash 4"/>
    <w:basedOn w:val="Normal"/>
    <w:rsid w:val="006C6058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ListNumber">
    <w:name w:val="List Number"/>
    <w:basedOn w:val="Normal"/>
    <w:rsid w:val="006C6058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1">
    <w:name w:val="List Number 1"/>
    <w:basedOn w:val="Text1"/>
    <w:rsid w:val="006C6058"/>
    <w:pPr>
      <w:numPr>
        <w:numId w:val="17"/>
      </w:numPr>
      <w:tabs>
        <w:tab w:val="clear" w:pos="1191"/>
        <w:tab w:val="num" w:pos="360"/>
      </w:tabs>
      <w:spacing w:before="0" w:beforeAutospacing="0" w:after="240" w:afterAutospacing="0"/>
      <w:ind w:left="0" w:firstLine="0"/>
    </w:pPr>
    <w:rPr>
      <w:b w:val="0"/>
    </w:rPr>
  </w:style>
  <w:style w:type="paragraph" w:styleId="ListNumber2">
    <w:name w:val="List Number 2"/>
    <w:basedOn w:val="Text2"/>
    <w:rsid w:val="006C6058"/>
    <w:pPr>
      <w:numPr>
        <w:numId w:val="18"/>
      </w:numPr>
      <w:tabs>
        <w:tab w:val="clear" w:pos="1786"/>
        <w:tab w:val="clear" w:pos="2160"/>
        <w:tab w:val="num" w:pos="360"/>
      </w:tabs>
      <w:spacing w:before="0" w:beforeAutospacing="0" w:after="240" w:afterAutospacing="0"/>
      <w:ind w:left="1077" w:firstLine="0"/>
    </w:pPr>
  </w:style>
  <w:style w:type="paragraph" w:styleId="ListNumber3">
    <w:name w:val="List Number 3"/>
    <w:basedOn w:val="Normal"/>
    <w:rsid w:val="006C6058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ListNumber4">
    <w:name w:val="List Number 4"/>
    <w:basedOn w:val="Normal"/>
    <w:rsid w:val="006C6058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Level2">
    <w:name w:val="List Number (Level 2)"/>
    <w:basedOn w:val="Normal"/>
    <w:rsid w:val="006C6058"/>
    <w:pPr>
      <w:numPr>
        <w:ilvl w:val="1"/>
        <w:numId w:val="3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1Level2">
    <w:name w:val="List Number 1 (Level 2)"/>
    <w:basedOn w:val="Text1"/>
    <w:rsid w:val="006C6058"/>
    <w:pPr>
      <w:numPr>
        <w:ilvl w:val="1"/>
        <w:numId w:val="17"/>
      </w:numPr>
      <w:tabs>
        <w:tab w:val="clear" w:pos="1899"/>
        <w:tab w:val="num" w:pos="360"/>
      </w:tabs>
      <w:spacing w:before="0" w:beforeAutospacing="0" w:after="240" w:afterAutospacing="0"/>
      <w:ind w:left="0" w:firstLine="0"/>
    </w:pPr>
    <w:rPr>
      <w:b w:val="0"/>
    </w:rPr>
  </w:style>
  <w:style w:type="paragraph" w:customStyle="1" w:styleId="ListNumber2Level2">
    <w:name w:val="List Number 2 (Level 2)"/>
    <w:basedOn w:val="Text2"/>
    <w:rsid w:val="006C6058"/>
    <w:pPr>
      <w:numPr>
        <w:ilvl w:val="1"/>
        <w:numId w:val="18"/>
      </w:numPr>
      <w:tabs>
        <w:tab w:val="clear" w:pos="2160"/>
        <w:tab w:val="clear" w:pos="2494"/>
        <w:tab w:val="num" w:pos="360"/>
      </w:tabs>
      <w:spacing w:before="0" w:beforeAutospacing="0" w:after="240" w:afterAutospacing="0"/>
      <w:ind w:left="1077" w:firstLine="0"/>
    </w:pPr>
  </w:style>
  <w:style w:type="paragraph" w:customStyle="1" w:styleId="ListNumber3Level2">
    <w:name w:val="List Number 3 (Level 2)"/>
    <w:basedOn w:val="Normal"/>
    <w:rsid w:val="006C6058"/>
    <w:pPr>
      <w:numPr>
        <w:ilvl w:val="1"/>
        <w:numId w:val="19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4Level2">
    <w:name w:val="List Number 4 (Level 2)"/>
    <w:basedOn w:val="Normal"/>
    <w:rsid w:val="006C6058"/>
    <w:pPr>
      <w:numPr>
        <w:ilvl w:val="1"/>
        <w:numId w:val="20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Level3">
    <w:name w:val="List Number (Level 3)"/>
    <w:basedOn w:val="Normal"/>
    <w:rsid w:val="006C6058"/>
    <w:pPr>
      <w:numPr>
        <w:ilvl w:val="2"/>
        <w:numId w:val="3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1Level3">
    <w:name w:val="List Number 1 (Level 3)"/>
    <w:basedOn w:val="Text1"/>
    <w:rsid w:val="006C6058"/>
    <w:pPr>
      <w:numPr>
        <w:ilvl w:val="2"/>
        <w:numId w:val="17"/>
      </w:numPr>
      <w:tabs>
        <w:tab w:val="clear" w:pos="2608"/>
        <w:tab w:val="num" w:pos="360"/>
      </w:tabs>
      <w:spacing w:before="0" w:beforeAutospacing="0" w:after="240" w:afterAutospacing="0"/>
      <w:ind w:left="0" w:firstLine="0"/>
    </w:pPr>
    <w:rPr>
      <w:b w:val="0"/>
    </w:rPr>
  </w:style>
  <w:style w:type="paragraph" w:customStyle="1" w:styleId="ListNumber2Level3">
    <w:name w:val="List Number 2 (Level 3)"/>
    <w:basedOn w:val="Text2"/>
    <w:rsid w:val="006C6058"/>
    <w:pPr>
      <w:numPr>
        <w:ilvl w:val="2"/>
        <w:numId w:val="18"/>
      </w:numPr>
      <w:tabs>
        <w:tab w:val="clear" w:pos="2160"/>
        <w:tab w:val="clear" w:pos="3203"/>
        <w:tab w:val="num" w:pos="360"/>
      </w:tabs>
      <w:spacing w:before="0" w:beforeAutospacing="0" w:after="240" w:afterAutospacing="0"/>
      <w:ind w:left="1077" w:firstLine="0"/>
    </w:pPr>
  </w:style>
  <w:style w:type="paragraph" w:customStyle="1" w:styleId="ListNumber3Level3">
    <w:name w:val="List Number 3 (Level 3)"/>
    <w:basedOn w:val="Normal"/>
    <w:rsid w:val="006C6058"/>
    <w:pPr>
      <w:numPr>
        <w:ilvl w:val="2"/>
        <w:numId w:val="19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4Level3">
    <w:name w:val="List Number 4 (Level 3)"/>
    <w:basedOn w:val="Normal"/>
    <w:rsid w:val="006C6058"/>
    <w:pPr>
      <w:numPr>
        <w:ilvl w:val="2"/>
        <w:numId w:val="20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Level4">
    <w:name w:val="List Number (Level 4)"/>
    <w:basedOn w:val="Normal"/>
    <w:rsid w:val="006C6058"/>
    <w:pPr>
      <w:numPr>
        <w:ilvl w:val="3"/>
        <w:numId w:val="3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1Level4">
    <w:name w:val="List Number 1 (Level 4)"/>
    <w:basedOn w:val="Text1"/>
    <w:rsid w:val="006C6058"/>
    <w:pPr>
      <w:numPr>
        <w:ilvl w:val="3"/>
        <w:numId w:val="17"/>
      </w:numPr>
      <w:tabs>
        <w:tab w:val="clear" w:pos="3317"/>
        <w:tab w:val="num" w:pos="360"/>
      </w:tabs>
      <w:spacing w:before="0" w:beforeAutospacing="0" w:after="240" w:afterAutospacing="0"/>
      <w:ind w:left="0" w:firstLine="0"/>
    </w:pPr>
    <w:rPr>
      <w:b w:val="0"/>
    </w:rPr>
  </w:style>
  <w:style w:type="paragraph" w:customStyle="1" w:styleId="ListNumber2Level4">
    <w:name w:val="List Number 2 (Level 4)"/>
    <w:basedOn w:val="Text2"/>
    <w:rsid w:val="006C6058"/>
    <w:pPr>
      <w:numPr>
        <w:ilvl w:val="3"/>
        <w:numId w:val="18"/>
      </w:numPr>
      <w:tabs>
        <w:tab w:val="clear" w:pos="2160"/>
        <w:tab w:val="clear" w:pos="3912"/>
        <w:tab w:val="num" w:pos="360"/>
      </w:tabs>
      <w:spacing w:before="0" w:beforeAutospacing="0" w:after="240" w:afterAutospacing="0"/>
      <w:ind w:left="1077" w:firstLine="0"/>
    </w:pPr>
  </w:style>
  <w:style w:type="paragraph" w:customStyle="1" w:styleId="ListNumber3Level4">
    <w:name w:val="List Number 3 (Level 4)"/>
    <w:basedOn w:val="Normal"/>
    <w:rsid w:val="006C6058"/>
    <w:pPr>
      <w:numPr>
        <w:ilvl w:val="3"/>
        <w:numId w:val="19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4Level4">
    <w:name w:val="List Number 4 (Level 4)"/>
    <w:basedOn w:val="Normal"/>
    <w:rsid w:val="006C6058"/>
    <w:pPr>
      <w:numPr>
        <w:ilvl w:val="3"/>
        <w:numId w:val="20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TOC5">
    <w:name w:val="toc 5"/>
    <w:basedOn w:val="Normal"/>
    <w:next w:val="Normal"/>
    <w:rsid w:val="006C6058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/>
      <w:caps/>
      <w:sz w:val="24"/>
      <w:szCs w:val="20"/>
    </w:rPr>
  </w:style>
  <w:style w:type="paragraph" w:styleId="TOC4">
    <w:name w:val="toc 4"/>
    <w:basedOn w:val="Normal"/>
    <w:next w:val="Normal"/>
    <w:uiPriority w:val="39"/>
    <w:rsid w:val="006C6058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6C60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6C6058"/>
    <w:rPr>
      <w:sz w:val="22"/>
      <w:szCs w:val="22"/>
      <w:lang w:val="en-GB"/>
    </w:rPr>
  </w:style>
  <w:style w:type="character" w:customStyle="1" w:styleId="Caratteredellanota">
    <w:name w:val="Carattere della nota"/>
    <w:rsid w:val="006C6058"/>
    <w:rPr>
      <w:rFonts w:ascii="TimesNewRomanPS" w:hAnsi="TimesNewRomanPS"/>
      <w:position w:val="6"/>
      <w:sz w:val="16"/>
    </w:rPr>
  </w:style>
  <w:style w:type="character" w:styleId="Strong">
    <w:name w:val="Strong"/>
    <w:uiPriority w:val="22"/>
    <w:qFormat/>
    <w:rsid w:val="006C6058"/>
    <w:rPr>
      <w:b/>
      <w:bCs/>
    </w:rPr>
  </w:style>
  <w:style w:type="paragraph" w:customStyle="1" w:styleId="Znak">
    <w:name w:val="Znak"/>
    <w:basedOn w:val="Normal"/>
    <w:rsid w:val="006C6058"/>
    <w:pPr>
      <w:spacing w:after="160" w:line="240" w:lineRule="exact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NumPar3">
    <w:name w:val="NumPar 3"/>
    <w:basedOn w:val="Heading3"/>
    <w:next w:val="Normal"/>
    <w:rsid w:val="006C6058"/>
    <w:pPr>
      <w:keepNext w:val="0"/>
      <w:numPr>
        <w:ilvl w:val="2"/>
        <w:numId w:val="1"/>
      </w:numPr>
      <w:spacing w:before="0" w:after="240" w:line="240" w:lineRule="auto"/>
      <w:ind w:left="1917"/>
      <w:jc w:val="both"/>
    </w:pPr>
    <w:rPr>
      <w:rFonts w:ascii="Times New Roman" w:hAnsi="Times New Roman"/>
      <w:b w:val="0"/>
      <w:bCs w:val="0"/>
      <w:sz w:val="24"/>
      <w:szCs w:val="24"/>
      <w:lang w:eastAsia="fr-BE"/>
    </w:rPr>
  </w:style>
  <w:style w:type="table" w:styleId="TableGrid">
    <w:name w:val="Table Grid"/>
    <w:basedOn w:val="TableNormal"/>
    <w:uiPriority w:val="59"/>
    <w:rsid w:val="006C6058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C60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Emphasis">
    <w:name w:val="Emphasis"/>
    <w:uiPriority w:val="20"/>
    <w:qFormat/>
    <w:rsid w:val="006C6058"/>
    <w:rPr>
      <w:i/>
      <w:iCs/>
    </w:rPr>
  </w:style>
  <w:style w:type="paragraph" w:styleId="Title">
    <w:name w:val="Title"/>
    <w:basedOn w:val="Normal"/>
    <w:link w:val="TitleChar"/>
    <w:uiPriority w:val="10"/>
    <w:qFormat/>
    <w:rsid w:val="006C6058"/>
    <w:pPr>
      <w:spacing w:before="240" w:after="60" w:line="240" w:lineRule="auto"/>
      <w:ind w:right="-58"/>
      <w:outlineLvl w:val="0"/>
    </w:pPr>
    <w:rPr>
      <w:rFonts w:ascii="Times New Roman" w:eastAsia="Times New Roman" w:hAnsi="Times New Roman"/>
      <w:b/>
      <w:color w:val="000000"/>
      <w:spacing w:val="-2"/>
      <w:kern w:val="28"/>
      <w:sz w:val="28"/>
      <w:szCs w:val="28"/>
      <w:lang w:eastAsia="en-GB"/>
    </w:rPr>
  </w:style>
  <w:style w:type="character" w:customStyle="1" w:styleId="TitleChar">
    <w:name w:val="Title Char"/>
    <w:link w:val="Title"/>
    <w:uiPriority w:val="10"/>
    <w:rsid w:val="006C6058"/>
    <w:rPr>
      <w:rFonts w:ascii="Times New Roman" w:eastAsia="Times New Roman" w:hAnsi="Times New Roman" w:cs="Times New Roman"/>
      <w:b/>
      <w:color w:val="000000"/>
      <w:spacing w:val="-2"/>
      <w:kern w:val="28"/>
      <w:sz w:val="28"/>
      <w:szCs w:val="28"/>
      <w:lang w:eastAsia="en-GB"/>
    </w:rPr>
  </w:style>
  <w:style w:type="character" w:customStyle="1" w:styleId="small1">
    <w:name w:val="small1"/>
    <w:rsid w:val="006C6058"/>
    <w:rPr>
      <w:b w:val="0"/>
      <w:bCs w:val="0"/>
      <w:sz w:val="22"/>
      <w:szCs w:val="22"/>
    </w:rPr>
  </w:style>
  <w:style w:type="paragraph" w:styleId="BodyTextIndent">
    <w:name w:val="Body Text Indent"/>
    <w:basedOn w:val="Normal"/>
    <w:link w:val="BodyTextIndentChar"/>
    <w:unhideWhenUsed/>
    <w:rsid w:val="006C6058"/>
    <w:pPr>
      <w:snapToGrid w:val="0"/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  <w:lang w:val="fr-BE" w:eastAsia="en-GB"/>
    </w:rPr>
  </w:style>
  <w:style w:type="character" w:customStyle="1" w:styleId="BodyTextIndentChar">
    <w:name w:val="Body Text Indent Char"/>
    <w:link w:val="BodyTextIndent"/>
    <w:rsid w:val="006C6058"/>
    <w:rPr>
      <w:rFonts w:ascii="Times New Roman" w:eastAsia="Times New Roman" w:hAnsi="Times New Roman" w:cs="Times New Roman"/>
      <w:sz w:val="24"/>
      <w:szCs w:val="24"/>
      <w:lang w:val="fr-BE"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605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6C605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C6058"/>
    <w:pPr>
      <w:spacing w:after="0" w:line="240" w:lineRule="auto"/>
      <w:ind w:left="720"/>
      <w:contextualSpacing/>
      <w:jc w:val="both"/>
    </w:pPr>
    <w:rPr>
      <w:rFonts w:eastAsia="Times New Roman"/>
      <w:szCs w:val="20"/>
      <w:lang w:val="de-DE" w:eastAsia="en-GB"/>
    </w:rPr>
  </w:style>
  <w:style w:type="character" w:styleId="PageNumber">
    <w:name w:val="page number"/>
    <w:uiPriority w:val="99"/>
    <w:rsid w:val="006C6058"/>
    <w:rPr>
      <w:rFonts w:cs="Times New Roman"/>
    </w:rPr>
  </w:style>
  <w:style w:type="character" w:customStyle="1" w:styleId="apple-converted-space">
    <w:name w:val="apple-converted-space"/>
    <w:basedOn w:val="DefaultParagraphFont"/>
    <w:rsid w:val="006C6058"/>
  </w:style>
  <w:style w:type="character" w:customStyle="1" w:styleId="hvr">
    <w:name w:val="hvr"/>
    <w:basedOn w:val="DefaultParagraphFont"/>
    <w:rsid w:val="006C6058"/>
  </w:style>
  <w:style w:type="table" w:customStyle="1" w:styleId="TableGrid1">
    <w:name w:val="Table Grid1"/>
    <w:basedOn w:val="TableNormal"/>
    <w:next w:val="TableGrid"/>
    <w:uiPriority w:val="39"/>
    <w:rsid w:val="006C6058"/>
    <w:pPr>
      <w:jc w:val="both"/>
    </w:pPr>
    <w:rPr>
      <w:rFonts w:eastAsia="Times New Roman"/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C6058"/>
    <w:pPr>
      <w:jc w:val="both"/>
    </w:pPr>
    <w:rPr>
      <w:rFonts w:eastAsia="Times New Roman"/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C6058"/>
    <w:pPr>
      <w:numPr>
        <w:ilvl w:val="1"/>
      </w:numPr>
      <w:jc w:val="both"/>
    </w:pPr>
    <w:rPr>
      <w:rFonts w:ascii="Cambria" w:eastAsia="SimSun" w:hAnsi="Cambria"/>
      <w:i/>
      <w:iCs/>
      <w:color w:val="4F81BD"/>
      <w:spacing w:val="15"/>
      <w:sz w:val="24"/>
      <w:szCs w:val="24"/>
      <w:lang w:val="en-US" w:eastAsia="ja-JP"/>
    </w:rPr>
  </w:style>
  <w:style w:type="character" w:customStyle="1" w:styleId="SubtitleChar">
    <w:name w:val="Subtitle Char"/>
    <w:link w:val="Subtitle"/>
    <w:uiPriority w:val="11"/>
    <w:rsid w:val="006C6058"/>
    <w:rPr>
      <w:rFonts w:ascii="Cambria" w:eastAsia="SimSun" w:hAnsi="Cambria" w:cs="Times New Roman"/>
      <w:i/>
      <w:iCs/>
      <w:color w:val="4F81BD"/>
      <w:spacing w:val="15"/>
      <w:sz w:val="24"/>
      <w:szCs w:val="24"/>
      <w:lang w:val="en-US" w:eastAsia="ja-JP"/>
    </w:rPr>
  </w:style>
  <w:style w:type="character" w:customStyle="1" w:styleId="tgc">
    <w:name w:val="_tgc"/>
    <w:basedOn w:val="DefaultParagraphFont"/>
    <w:rsid w:val="006C6058"/>
  </w:style>
  <w:style w:type="paragraph" w:customStyle="1" w:styleId="Pa0">
    <w:name w:val="Pa0"/>
    <w:basedOn w:val="Normal"/>
    <w:next w:val="Normal"/>
    <w:uiPriority w:val="99"/>
    <w:rsid w:val="006C6058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0">
    <w:name w:val="A0"/>
    <w:uiPriority w:val="99"/>
    <w:rsid w:val="006C6058"/>
    <w:rPr>
      <w:rFonts w:cs="Myriad Pro"/>
      <w:b/>
      <w:bCs/>
      <w:color w:val="F8981C"/>
      <w:sz w:val="40"/>
      <w:szCs w:val="40"/>
    </w:rPr>
  </w:style>
  <w:style w:type="paragraph" w:customStyle="1" w:styleId="Pa4">
    <w:name w:val="Pa4"/>
    <w:basedOn w:val="Normal"/>
    <w:next w:val="Normal"/>
    <w:uiPriority w:val="99"/>
    <w:rsid w:val="006C6058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3">
    <w:name w:val="A3"/>
    <w:uiPriority w:val="99"/>
    <w:rsid w:val="006C6058"/>
    <w:rPr>
      <w:rFonts w:cs="Myriad Pro"/>
      <w:b/>
      <w:bCs/>
      <w:color w:val="003667"/>
      <w:sz w:val="22"/>
      <w:szCs w:val="22"/>
    </w:rPr>
  </w:style>
  <w:style w:type="paragraph" w:customStyle="1" w:styleId="Pa5">
    <w:name w:val="Pa5"/>
    <w:basedOn w:val="Normal"/>
    <w:next w:val="Normal"/>
    <w:uiPriority w:val="99"/>
    <w:rsid w:val="006C6058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6C6058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2">
    <w:name w:val="A2"/>
    <w:uiPriority w:val="99"/>
    <w:rsid w:val="006C6058"/>
    <w:rPr>
      <w:rFonts w:cs="Myriad Pro"/>
      <w:color w:val="FFFFFF"/>
      <w:sz w:val="34"/>
      <w:szCs w:val="34"/>
    </w:rPr>
  </w:style>
  <w:style w:type="paragraph" w:customStyle="1" w:styleId="Pa3">
    <w:name w:val="Pa3"/>
    <w:basedOn w:val="Default"/>
    <w:next w:val="Default"/>
    <w:uiPriority w:val="99"/>
    <w:rsid w:val="006C6058"/>
    <w:pPr>
      <w:spacing w:line="241" w:lineRule="atLeast"/>
    </w:pPr>
    <w:rPr>
      <w:rFonts w:ascii="Myriad Pro" w:eastAsia="Calibri" w:hAnsi="Myriad Pro"/>
      <w:color w:val="auto"/>
      <w:lang w:eastAsia="en-US"/>
    </w:rPr>
  </w:style>
  <w:style w:type="paragraph" w:customStyle="1" w:styleId="Pa9">
    <w:name w:val="Pa9"/>
    <w:basedOn w:val="Default"/>
    <w:next w:val="Default"/>
    <w:uiPriority w:val="99"/>
    <w:rsid w:val="006C6058"/>
    <w:pPr>
      <w:spacing w:line="241" w:lineRule="atLeast"/>
    </w:pPr>
    <w:rPr>
      <w:rFonts w:ascii="Myriad Pro" w:eastAsia="Calibri" w:hAnsi="Myriad Pro"/>
      <w:color w:val="auto"/>
      <w:lang w:eastAsia="en-US"/>
    </w:rPr>
  </w:style>
  <w:style w:type="paragraph" w:customStyle="1" w:styleId="Pa10">
    <w:name w:val="Pa10"/>
    <w:basedOn w:val="Default"/>
    <w:next w:val="Default"/>
    <w:uiPriority w:val="99"/>
    <w:rsid w:val="006C6058"/>
    <w:pPr>
      <w:spacing w:line="241" w:lineRule="atLeast"/>
    </w:pPr>
    <w:rPr>
      <w:rFonts w:ascii="Myriad Pro" w:eastAsia="Calibri" w:hAnsi="Myriad Pro"/>
      <w:color w:val="auto"/>
      <w:lang w:eastAsia="en-US"/>
    </w:rPr>
  </w:style>
  <w:style w:type="paragraph" w:customStyle="1" w:styleId="Pa12">
    <w:name w:val="Pa12"/>
    <w:basedOn w:val="Default"/>
    <w:next w:val="Default"/>
    <w:uiPriority w:val="99"/>
    <w:rsid w:val="006C6058"/>
    <w:pPr>
      <w:spacing w:line="241" w:lineRule="atLeast"/>
    </w:pPr>
    <w:rPr>
      <w:rFonts w:ascii="Myriad Pro" w:eastAsia="Calibri" w:hAnsi="Myriad Pro"/>
      <w:color w:val="auto"/>
      <w:lang w:eastAsia="en-US"/>
    </w:rPr>
  </w:style>
  <w:style w:type="paragraph" w:customStyle="1" w:styleId="Pa13">
    <w:name w:val="Pa13"/>
    <w:basedOn w:val="Default"/>
    <w:next w:val="Default"/>
    <w:uiPriority w:val="99"/>
    <w:rsid w:val="006C6058"/>
    <w:pPr>
      <w:spacing w:line="241" w:lineRule="atLeast"/>
    </w:pPr>
    <w:rPr>
      <w:rFonts w:ascii="Myriad Pro" w:eastAsia="Calibri" w:hAnsi="Myriad Pro"/>
      <w:color w:val="auto"/>
      <w:lang w:eastAsia="en-US"/>
    </w:rPr>
  </w:style>
  <w:style w:type="table" w:customStyle="1" w:styleId="TableGrid3">
    <w:name w:val="Table Grid3"/>
    <w:basedOn w:val="TableNormal"/>
    <w:next w:val="TableGrid"/>
    <w:rsid w:val="006C6058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quired">
    <w:name w:val="required"/>
    <w:rsid w:val="00E73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9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-sofia.bg" TargetMode="External"/><Relationship Id="rId13" Type="http://schemas.openxmlformats.org/officeDocument/2006/relationships/hyperlink" Target="https://tu-sofia.bg/kcfinder/upload/files/SOPKONI_17n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u-sofia.bg/kcfinder/upload/files/Etichen_kodeks_TU.pdf" TargetMode="External"/><Relationship Id="rId12" Type="http://schemas.openxmlformats.org/officeDocument/2006/relationships/hyperlink" Target="https://tu-sofia.bg/kcfinder/upload/files/norm-dok/akad_savet/Pravilnik_akadem_dl.pdf" TargetMode="External"/><Relationship Id="rId17" Type="http://schemas.openxmlformats.org/officeDocument/2006/relationships/hyperlink" Target="https://tu-sofia.bg/kcfinder/upload/files/SOPKONI_17n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tu-sofia.bg/kcfinder/upload/files/norm-dok/akad_savet/Pravilnik_akadem_dl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u-sofia.bg/kcfinder/upload/files/norm-dok/akad_savet/Pravilnik_akadem_dl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u-sofia.bg/kcfinder/upload/files/norm-dok/akad_savet/Pravilnik_akadem_dl.pdf" TargetMode="External"/><Relationship Id="rId10" Type="http://schemas.openxmlformats.org/officeDocument/2006/relationships/hyperlink" Target="https://tu-sofia.bg/university/24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u-sofia.bg/university/3093" TargetMode="External"/><Relationship Id="rId14" Type="http://schemas.openxmlformats.org/officeDocument/2006/relationships/hyperlink" Target="https://tu-sofia.bg/university/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4901</Words>
  <Characters>27940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BRACH Irmela (RTD)</dc:creator>
  <cp:keywords/>
  <cp:lastModifiedBy>Lidia Galabova</cp:lastModifiedBy>
  <cp:revision>2</cp:revision>
  <dcterms:created xsi:type="dcterms:W3CDTF">2020-04-27T19:19:00Z</dcterms:created>
  <dcterms:modified xsi:type="dcterms:W3CDTF">2020-04-27T19:19:00Z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-202338060</vt:i4>
  </property>
</Properties>
</file>