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5600" w:type="dxa"/>
        <w:tblLook w:val="01E0" w:firstRow="1" w:lastRow="1" w:firstColumn="1" w:lastColumn="1" w:noHBand="0" w:noVBand="0"/>
      </w:tblPr>
      <w:tblGrid>
        <w:gridCol w:w="5600"/>
      </w:tblGrid>
      <w:tr w:rsidR="00B179FE" w:rsidTr="00DF0249">
        <w:tc>
          <w:tcPr>
            <w:tcW w:w="5600" w:type="dxa"/>
            <w:tcBorders>
              <w:bottom w:val="single" w:sz="4" w:space="0" w:color="auto"/>
            </w:tcBorders>
          </w:tcPr>
          <w:p w:rsidR="00B179FE" w:rsidRPr="009B6448" w:rsidRDefault="0027686C" w:rsidP="00DF0249">
            <w:pPr>
              <w:jc w:val="center"/>
              <w:rPr>
                <w:lang w:val="bg-BG"/>
              </w:rPr>
            </w:pPr>
            <w:r>
              <w:rPr>
                <w:noProof/>
                <w:lang w:val="en-US"/>
              </w:rPr>
              <w:drawing>
                <wp:anchor distT="0" distB="0" distL="114300" distR="114300" simplePos="0" relativeHeight="251657728" behindDoc="0" locked="0" layoutInCell="1" allowOverlap="1">
                  <wp:simplePos x="0" y="0"/>
                  <wp:positionH relativeFrom="column">
                    <wp:posOffset>-590550</wp:posOffset>
                  </wp:positionH>
                  <wp:positionV relativeFrom="paragraph">
                    <wp:posOffset>-289560</wp:posOffset>
                  </wp:positionV>
                  <wp:extent cx="396875" cy="508635"/>
                  <wp:effectExtent l="1905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96875" cy="508635"/>
                          </a:xfrm>
                          <a:prstGeom prst="rect">
                            <a:avLst/>
                          </a:prstGeom>
                          <a:noFill/>
                          <a:ln w="9525">
                            <a:noFill/>
                            <a:miter lim="800000"/>
                            <a:headEnd/>
                            <a:tailEnd/>
                          </a:ln>
                        </pic:spPr>
                      </pic:pic>
                    </a:graphicData>
                  </a:graphic>
                </wp:anchor>
              </w:drawing>
            </w:r>
            <w:r w:rsidR="00B179FE" w:rsidRPr="009B6448">
              <w:rPr>
                <w:b/>
                <w:bCs/>
                <w:spacing w:val="20"/>
                <w:sz w:val="28"/>
                <w:szCs w:val="28"/>
                <w:lang w:val="bg-BG"/>
              </w:rPr>
              <w:t>СЕЛСКОСТОПАНСКА АКАДЕМИЯ</w:t>
            </w:r>
          </w:p>
        </w:tc>
      </w:tr>
      <w:tr w:rsidR="00B179FE" w:rsidRPr="00B179FE" w:rsidTr="00DF0249">
        <w:trPr>
          <w:trHeight w:val="301"/>
        </w:trPr>
        <w:tc>
          <w:tcPr>
            <w:tcW w:w="5600" w:type="dxa"/>
            <w:tcBorders>
              <w:top w:val="single" w:sz="4" w:space="0" w:color="auto"/>
            </w:tcBorders>
          </w:tcPr>
          <w:p w:rsidR="00B179FE" w:rsidRPr="003822A7" w:rsidRDefault="00B179FE" w:rsidP="00DF0249">
            <w:pPr>
              <w:jc w:val="center"/>
              <w:rPr>
                <w:lang w:val="en-US"/>
              </w:rPr>
            </w:pPr>
            <w:r w:rsidRPr="009B6448">
              <w:rPr>
                <w:spacing w:val="-10"/>
                <w:sz w:val="20"/>
                <w:szCs w:val="20"/>
                <w:lang w:val="bg-BG"/>
              </w:rPr>
              <w:t xml:space="preserve">София - 1373, ул. "Суходолска" № 30, тел.: </w:t>
            </w:r>
            <w:r w:rsidRPr="009B6448">
              <w:rPr>
                <w:spacing w:val="-10"/>
                <w:sz w:val="20"/>
                <w:szCs w:val="20"/>
                <w:lang w:val="ru-RU"/>
              </w:rPr>
              <w:t>812750</w:t>
            </w:r>
            <w:r w:rsidR="003822A7">
              <w:rPr>
                <w:spacing w:val="-10"/>
                <w:sz w:val="20"/>
                <w:szCs w:val="20"/>
                <w:lang w:val="en-US"/>
              </w:rPr>
              <w:t>5</w:t>
            </w:r>
            <w:r w:rsidRPr="009B6448">
              <w:rPr>
                <w:spacing w:val="-10"/>
                <w:sz w:val="20"/>
                <w:szCs w:val="20"/>
                <w:lang w:val="ru-RU"/>
              </w:rPr>
              <w:t>,</w:t>
            </w:r>
            <w:r w:rsidRPr="009B6448">
              <w:rPr>
                <w:spacing w:val="-10"/>
                <w:sz w:val="20"/>
                <w:szCs w:val="20"/>
                <w:lang w:val="bg-BG"/>
              </w:rPr>
              <w:t xml:space="preserve"> тел/факс 812751</w:t>
            </w:r>
            <w:r w:rsidR="003822A7">
              <w:rPr>
                <w:spacing w:val="-10"/>
                <w:sz w:val="20"/>
                <w:szCs w:val="20"/>
                <w:lang w:val="en-US"/>
              </w:rPr>
              <w:t>5</w:t>
            </w:r>
          </w:p>
        </w:tc>
      </w:tr>
    </w:tbl>
    <w:p w:rsidR="00AA0C40" w:rsidRDefault="00DF0249" w:rsidP="00AA0C40">
      <w:pPr>
        <w:rPr>
          <w:lang w:val="en-US"/>
        </w:rPr>
      </w:pPr>
      <w:r w:rsidRPr="00392803">
        <w:rPr>
          <w:b/>
          <w:lang w:val="en-US"/>
        </w:rPr>
        <w:br w:type="textWrapping" w:clear="all"/>
      </w:r>
    </w:p>
    <w:p w:rsidR="00AA0C40" w:rsidRDefault="00AA0C40" w:rsidP="00AA0C40">
      <w:pPr>
        <w:rPr>
          <w:lang w:val="en-US"/>
        </w:rPr>
      </w:pPr>
    </w:p>
    <w:p w:rsidR="00AE3F1E" w:rsidRDefault="00AE3F1E" w:rsidP="004963DC">
      <w:pPr>
        <w:jc w:val="both"/>
        <w:rPr>
          <w:b/>
          <w:lang w:val="bg-BG"/>
        </w:rPr>
      </w:pPr>
    </w:p>
    <w:p w:rsidR="00EE6C7F" w:rsidRPr="00EE6C7F" w:rsidRDefault="00EE6C7F" w:rsidP="00EE6C7F">
      <w:pPr>
        <w:pStyle w:val="NormalWeb"/>
        <w:jc w:val="center"/>
        <w:rPr>
          <w:b/>
          <w:color w:val="333333"/>
          <w:sz w:val="36"/>
          <w:szCs w:val="36"/>
        </w:rPr>
      </w:pPr>
    </w:p>
    <w:p w:rsidR="00EE6C7F" w:rsidRPr="00EE6C7F" w:rsidRDefault="00EE6C7F" w:rsidP="00EE6C7F">
      <w:pPr>
        <w:pStyle w:val="NormalWeb"/>
        <w:jc w:val="center"/>
        <w:rPr>
          <w:b/>
          <w:color w:val="333333"/>
          <w:sz w:val="36"/>
          <w:szCs w:val="36"/>
        </w:rPr>
      </w:pPr>
      <w:r w:rsidRPr="00EE6C7F">
        <w:rPr>
          <w:b/>
          <w:color w:val="333333"/>
          <w:sz w:val="36"/>
          <w:szCs w:val="36"/>
        </w:rPr>
        <w:t>П О К А Н А</w:t>
      </w:r>
    </w:p>
    <w:p w:rsidR="00EE6C7F" w:rsidRPr="00EE6C7F" w:rsidRDefault="00EE6C7F" w:rsidP="00EE6C7F">
      <w:pPr>
        <w:pStyle w:val="NormalWeb"/>
        <w:ind w:left="720"/>
        <w:jc w:val="center"/>
        <w:rPr>
          <w:b/>
          <w:color w:val="333333"/>
          <w:sz w:val="36"/>
          <w:szCs w:val="36"/>
        </w:rPr>
      </w:pPr>
      <w:r w:rsidRPr="00EE6C7F">
        <w:rPr>
          <w:b/>
          <w:color w:val="333333"/>
          <w:sz w:val="36"/>
          <w:szCs w:val="36"/>
        </w:rPr>
        <w:t xml:space="preserve">ПО </w:t>
      </w:r>
      <w:r w:rsidR="00595E72" w:rsidRPr="00EE6C7F">
        <w:rPr>
          <w:b/>
          <w:color w:val="333333"/>
          <w:sz w:val="36"/>
          <w:szCs w:val="36"/>
        </w:rPr>
        <w:t>открита процедура</w:t>
      </w:r>
    </w:p>
    <w:p w:rsidR="00EE6C7F" w:rsidRPr="00EE6C7F" w:rsidRDefault="00595E72" w:rsidP="00EE6C7F">
      <w:pPr>
        <w:pStyle w:val="NormalWeb"/>
        <w:ind w:left="720"/>
        <w:jc w:val="center"/>
        <w:rPr>
          <w:b/>
          <w:color w:val="333333"/>
          <w:sz w:val="36"/>
          <w:szCs w:val="36"/>
        </w:rPr>
      </w:pPr>
      <w:r w:rsidRPr="00EE6C7F">
        <w:rPr>
          <w:b/>
          <w:color w:val="333333"/>
          <w:sz w:val="36"/>
          <w:szCs w:val="36"/>
        </w:rPr>
        <w:t xml:space="preserve"> за избор на асоциирани партньори</w:t>
      </w:r>
    </w:p>
    <w:p w:rsidR="00EE6C7F" w:rsidRPr="00EE6C7F" w:rsidRDefault="00EE6C7F" w:rsidP="00EE6C7F">
      <w:pPr>
        <w:pStyle w:val="NormalWeb"/>
        <w:ind w:left="720"/>
        <w:jc w:val="center"/>
        <w:rPr>
          <w:b/>
          <w:color w:val="333333"/>
        </w:rPr>
      </w:pPr>
      <w:r>
        <w:rPr>
          <w:b/>
          <w:color w:val="333333"/>
        </w:rPr>
        <w:t>на</w:t>
      </w:r>
      <w:r w:rsidRPr="00EE6C7F">
        <w:rPr>
          <w:b/>
          <w:color w:val="333333"/>
        </w:rPr>
        <w:t xml:space="preserve"> </w:t>
      </w:r>
      <w:r>
        <w:rPr>
          <w:b/>
          <w:color w:val="333333"/>
        </w:rPr>
        <w:t>Селскостопанска академия – ССА, гр</w:t>
      </w:r>
      <w:r w:rsidRPr="00EE6C7F">
        <w:rPr>
          <w:b/>
          <w:color w:val="333333"/>
        </w:rPr>
        <w:t>. СОФИЯ</w:t>
      </w:r>
    </w:p>
    <w:p w:rsidR="00EE6C7F" w:rsidRPr="00EE6C7F" w:rsidRDefault="00EE6C7F" w:rsidP="00EE6C7F">
      <w:pPr>
        <w:pStyle w:val="NormalWeb"/>
        <w:ind w:left="720"/>
        <w:jc w:val="center"/>
        <w:rPr>
          <w:b/>
          <w:color w:val="333333"/>
        </w:rPr>
      </w:pPr>
      <w:r w:rsidRPr="00EE6C7F">
        <w:rPr>
          <w:b/>
          <w:color w:val="333333"/>
        </w:rPr>
        <w:t xml:space="preserve">по разработвано от </w:t>
      </w:r>
      <w:r w:rsidR="00CA68FD">
        <w:rPr>
          <w:b/>
          <w:color w:val="333333"/>
        </w:rPr>
        <w:t>ССА</w:t>
      </w:r>
      <w:r w:rsidRPr="00EE6C7F">
        <w:rPr>
          <w:b/>
          <w:color w:val="333333"/>
        </w:rPr>
        <w:t xml:space="preserve"> Проектно предложение/ПП</w:t>
      </w:r>
    </w:p>
    <w:p w:rsidR="00EE6C7F" w:rsidRPr="00EE6C7F" w:rsidRDefault="00EE6C7F" w:rsidP="00EE6C7F">
      <w:pPr>
        <w:pStyle w:val="NormalWeb"/>
        <w:pBdr>
          <w:top w:val="single" w:sz="4" w:space="1" w:color="auto"/>
          <w:left w:val="single" w:sz="4" w:space="4" w:color="auto"/>
          <w:bottom w:val="single" w:sz="4" w:space="1" w:color="auto"/>
          <w:right w:val="single" w:sz="4" w:space="4" w:color="auto"/>
        </w:pBdr>
        <w:ind w:left="720"/>
        <w:jc w:val="center"/>
        <w:rPr>
          <w:b/>
          <w:color w:val="333333"/>
          <w:sz w:val="28"/>
          <w:szCs w:val="28"/>
        </w:rPr>
      </w:pPr>
      <w:r w:rsidRPr="00EE6C7F">
        <w:rPr>
          <w:b/>
          <w:color w:val="333333"/>
          <w:sz w:val="28"/>
          <w:szCs w:val="28"/>
        </w:rPr>
        <w:t>„Изграждане и развитие на Център за компетентност по растителна феномика за прецизно земеделие „</w:t>
      </w:r>
    </w:p>
    <w:p w:rsidR="00EE6C7F" w:rsidRPr="00EE6C7F" w:rsidRDefault="00EE6C7F" w:rsidP="00EE6C7F">
      <w:pPr>
        <w:pStyle w:val="NormalWeb"/>
        <w:ind w:left="720"/>
        <w:jc w:val="center"/>
        <w:rPr>
          <w:b/>
          <w:color w:val="333333"/>
          <w:sz w:val="20"/>
          <w:szCs w:val="20"/>
        </w:rPr>
      </w:pPr>
      <w:r w:rsidRPr="00EE6C7F">
        <w:rPr>
          <w:b/>
          <w:color w:val="333333"/>
          <w:sz w:val="20"/>
          <w:szCs w:val="20"/>
        </w:rPr>
        <w:t>По Оперативна програма „Наука и образование за интелигентен растеж“ на Министерство на образованието и науката /ОП НОИР на МОН 2014 г. – 2020г.</w:t>
      </w:r>
    </w:p>
    <w:p w:rsidR="00EE6C7F" w:rsidRDefault="00EE6C7F" w:rsidP="00EE6C7F">
      <w:pPr>
        <w:pStyle w:val="NormalWeb"/>
        <w:ind w:left="720"/>
        <w:jc w:val="center"/>
        <w:rPr>
          <w:b/>
          <w:color w:val="333333"/>
          <w:sz w:val="20"/>
          <w:szCs w:val="20"/>
        </w:rPr>
      </w:pPr>
      <w:r w:rsidRPr="00EE6C7F">
        <w:rPr>
          <w:b/>
          <w:color w:val="333333"/>
          <w:sz w:val="20"/>
          <w:szCs w:val="20"/>
        </w:rPr>
        <w:t xml:space="preserve">Процедура за подбор на проекти </w:t>
      </w:r>
    </w:p>
    <w:p w:rsidR="00EE6C7F" w:rsidRPr="00943BD8" w:rsidRDefault="00943BD8" w:rsidP="00EE6C7F">
      <w:pPr>
        <w:pStyle w:val="NormalWeb"/>
        <w:ind w:left="720"/>
        <w:jc w:val="center"/>
        <w:rPr>
          <w:b/>
          <w:color w:val="333333"/>
        </w:rPr>
      </w:pPr>
      <w:r w:rsidRPr="00943BD8">
        <w:rPr>
          <w:b/>
          <w:color w:val="333333"/>
        </w:rPr>
        <w:t>„Изграждане и развитие на Център за компетентност по растителна феномика за прецизно земеделие</w:t>
      </w:r>
      <w:r>
        <w:rPr>
          <w:b/>
          <w:color w:val="333333"/>
        </w:rPr>
        <w:t>“</w:t>
      </w:r>
    </w:p>
    <w:p w:rsidR="00EE6C7F" w:rsidRPr="00EE6C7F" w:rsidRDefault="00EE6C7F" w:rsidP="00EE6C7F">
      <w:pPr>
        <w:pStyle w:val="NormalWeb"/>
        <w:ind w:left="720"/>
        <w:rPr>
          <w:b/>
          <w:color w:val="333333"/>
        </w:rPr>
      </w:pPr>
      <w:r w:rsidRPr="00EE6C7F">
        <w:rPr>
          <w:b/>
          <w:color w:val="333333"/>
        </w:rPr>
        <w:t>Уважаеми господа,</w:t>
      </w:r>
    </w:p>
    <w:p w:rsidR="00EE6C7F" w:rsidRPr="00EE6C7F" w:rsidRDefault="00943BD8" w:rsidP="00943BD8">
      <w:pPr>
        <w:pStyle w:val="NormalWeb"/>
        <w:ind w:left="720"/>
        <w:jc w:val="both"/>
        <w:rPr>
          <w:b/>
          <w:color w:val="333333"/>
        </w:rPr>
      </w:pPr>
      <w:r>
        <w:rPr>
          <w:b/>
          <w:color w:val="333333"/>
        </w:rPr>
        <w:t>ССА</w:t>
      </w:r>
      <w:r w:rsidR="00EE6C7F" w:rsidRPr="00EE6C7F">
        <w:rPr>
          <w:b/>
          <w:color w:val="333333"/>
        </w:rPr>
        <w:t xml:space="preserve"> съвместно с допустими партньори разработва Проектно предложение/ПП</w:t>
      </w:r>
      <w:r>
        <w:rPr>
          <w:b/>
          <w:color w:val="333333"/>
        </w:rPr>
        <w:t xml:space="preserve"> </w:t>
      </w:r>
      <w:r>
        <w:rPr>
          <w:color w:val="333333"/>
        </w:rPr>
        <w:t>„</w:t>
      </w:r>
      <w:r w:rsidRPr="00943BD8">
        <w:rPr>
          <w:b/>
          <w:color w:val="333333"/>
        </w:rPr>
        <w:t>Изграждане и развитие на Център за компетентност по растителна феномика за прецизно земеделие</w:t>
      </w:r>
      <w:r w:rsidR="00EE6C7F" w:rsidRPr="00943BD8">
        <w:rPr>
          <w:b/>
          <w:color w:val="333333"/>
        </w:rPr>
        <w:t>“, с</w:t>
      </w:r>
      <w:r w:rsidR="00EE6C7F" w:rsidRPr="00EE6C7F">
        <w:rPr>
          <w:b/>
          <w:color w:val="333333"/>
        </w:rPr>
        <w:t xml:space="preserve"> което ще кандидатства за 100 % безвъзмездно финансиране</w:t>
      </w:r>
      <w:r>
        <w:rPr>
          <w:b/>
          <w:color w:val="333333"/>
        </w:rPr>
        <w:t xml:space="preserve"> </w:t>
      </w:r>
      <w:r w:rsidR="00EE6C7F" w:rsidRPr="00EE6C7F">
        <w:rPr>
          <w:b/>
          <w:color w:val="333333"/>
          <w:lang w:val="en-US"/>
        </w:rPr>
        <w:t>(</w:t>
      </w:r>
      <w:r w:rsidR="00EE6C7F" w:rsidRPr="00EE6C7F">
        <w:rPr>
          <w:b/>
          <w:color w:val="333333"/>
        </w:rPr>
        <w:t>до 24,0 млн. лв.</w:t>
      </w:r>
      <w:r w:rsidR="00EE6C7F" w:rsidRPr="00EE6C7F">
        <w:rPr>
          <w:b/>
          <w:color w:val="333333"/>
          <w:lang w:val="en-US"/>
        </w:rPr>
        <w:t>)</w:t>
      </w:r>
      <w:r w:rsidR="00EE6C7F" w:rsidRPr="00EE6C7F">
        <w:rPr>
          <w:b/>
          <w:color w:val="333333"/>
        </w:rPr>
        <w:t xml:space="preserve"> по ОП НОИР на МОН за реализацията на това ПП.</w:t>
      </w:r>
    </w:p>
    <w:p w:rsidR="00EE6C7F" w:rsidRPr="00EE6C7F" w:rsidRDefault="00EE6C7F" w:rsidP="00943BD8">
      <w:pPr>
        <w:pStyle w:val="NormalWeb"/>
        <w:ind w:left="720"/>
        <w:jc w:val="both"/>
        <w:rPr>
          <w:b/>
          <w:color w:val="333333"/>
        </w:rPr>
      </w:pPr>
      <w:r w:rsidRPr="00EE6C7F">
        <w:rPr>
          <w:b/>
          <w:color w:val="333333"/>
        </w:rPr>
        <w:t xml:space="preserve">1. В изпълнение на Условията за кандидатстване/УК по ОП НОИР на МОН, </w:t>
      </w:r>
      <w:r w:rsidR="00943BD8">
        <w:rPr>
          <w:b/>
          <w:color w:val="333333"/>
        </w:rPr>
        <w:t>ССА</w:t>
      </w:r>
      <w:r w:rsidRPr="00EE6C7F">
        <w:rPr>
          <w:b/>
          <w:color w:val="333333"/>
        </w:rPr>
        <w:t xml:space="preserve"> кани и Асоциирани партньори/АП по ПП, които следва да отговарят на следните условия:</w:t>
      </w:r>
    </w:p>
    <w:tbl>
      <w:tblPr>
        <w:tblW w:w="10139" w:type="dxa"/>
        <w:tblInd w:w="-108" w:type="dxa"/>
        <w:tblLayout w:type="fixed"/>
        <w:tblLook w:val="04A0" w:firstRow="1" w:lastRow="0" w:firstColumn="1" w:lastColumn="0" w:noHBand="0" w:noVBand="1"/>
      </w:tblPr>
      <w:tblGrid>
        <w:gridCol w:w="10139"/>
      </w:tblGrid>
      <w:tr w:rsidR="00EE6C7F" w:rsidRPr="00EE6C7F" w:rsidTr="00595E72">
        <w:trPr>
          <w:trHeight w:val="218"/>
        </w:trPr>
        <w:tc>
          <w:tcPr>
            <w:tcW w:w="10139" w:type="dxa"/>
            <w:tcBorders>
              <w:top w:val="nil"/>
              <w:left w:val="nil"/>
              <w:bottom w:val="nil"/>
              <w:right w:val="nil"/>
            </w:tcBorders>
          </w:tcPr>
          <w:p w:rsidR="00EE6C7F" w:rsidRPr="00EE6C7F" w:rsidRDefault="00595E72">
            <w:pPr>
              <w:pStyle w:val="Default"/>
              <w:rPr>
                <w:sz w:val="23"/>
                <w:szCs w:val="23"/>
              </w:rPr>
            </w:pPr>
            <w:r>
              <w:rPr>
                <w:color w:val="auto"/>
                <w:lang w:val="en-AU" w:eastAsia="en-US"/>
              </w:rPr>
              <w:br w:type="page"/>
            </w:r>
            <w:bookmarkStart w:id="0" w:name="_GoBack"/>
            <w:bookmarkEnd w:id="0"/>
            <w:r>
              <w:rPr>
                <w:color w:val="auto"/>
                <w:lang w:val="en-AU" w:eastAsia="en-US"/>
              </w:rPr>
              <w:br w:type="page"/>
            </w:r>
            <w:r w:rsidR="00EE6C7F" w:rsidRPr="00EE6C7F">
              <w:rPr>
                <w:sz w:val="23"/>
                <w:szCs w:val="23"/>
              </w:rPr>
              <w:t>12.3. Асоциирани партньори:</w:t>
            </w:r>
          </w:p>
          <w:p w:rsidR="00EE6C7F" w:rsidRPr="00EE6C7F" w:rsidRDefault="00EE6C7F" w:rsidP="00651D00">
            <w:pPr>
              <w:pStyle w:val="Default"/>
              <w:jc w:val="both"/>
              <w:rPr>
                <w:sz w:val="23"/>
                <w:szCs w:val="23"/>
              </w:rPr>
            </w:pPr>
            <w:r w:rsidRPr="00EE6C7F">
              <w:rPr>
                <w:sz w:val="23"/>
                <w:szCs w:val="23"/>
              </w:rPr>
              <w:t xml:space="preserve">По смисъла на § 1, т. 1 от ПМС №  162 / 2016 г.  </w:t>
            </w:r>
            <w:r w:rsidRPr="00EE6C7F">
              <w:rPr>
                <w:sz w:val="23"/>
                <w:szCs w:val="23"/>
                <w:u w:val="single"/>
              </w:rPr>
              <w:t>„Асоциирани партньори на кандидатите за безвъзмездна финансова помощ“</w:t>
            </w:r>
            <w:r w:rsidRPr="00EE6C7F">
              <w:rPr>
                <w:sz w:val="23"/>
                <w:szCs w:val="23"/>
              </w:rPr>
              <w:t xml:space="preserve"> са всички физически и юридически лица и техни обединения, които са заинтересовани от реализирането на проекта и участват в изпълнението на дейностите по него, но не разходват средства от безвъзмездната финансова помощ. </w:t>
            </w:r>
          </w:p>
          <w:p w:rsidR="00EE6C7F" w:rsidRPr="00EE6C7F" w:rsidRDefault="00EE6C7F" w:rsidP="00651D00">
            <w:pPr>
              <w:pStyle w:val="Default"/>
              <w:jc w:val="both"/>
              <w:rPr>
                <w:sz w:val="23"/>
                <w:szCs w:val="23"/>
              </w:rPr>
            </w:pPr>
            <w:r w:rsidRPr="00EE6C7F">
              <w:rPr>
                <w:sz w:val="23"/>
                <w:szCs w:val="23"/>
              </w:rPr>
              <w:t>Допустими асоциирани партньори по настоящата процедура са юридически лица, подпомагащи изпълнението на проекта. Те следва да са избрани вследствие на открита, прозрачна и недискриминационна процедура, в която да има възможност да участва всеки един заинтересован икономически оператор. Разходите, направени от асоциираните партньори, са недопустими за възстановяване по оперативната програма. Въпреки това стойността на разходите, които са планирани на етап кандидатстване с проектно предложение, направени от асоциирани партньори следва да бъде включена в общата стойност на проекта/планираните ползи, включително и в съфинансирането по т. 10 от Условията за кандидатстване и секция 6 „Финансова информация – източници на финансиране“ от Формуляра за кандидатстване. Не е задължително асоциираните</w:t>
            </w:r>
          </w:p>
          <w:p w:rsidR="00EE6C7F" w:rsidRPr="00EE6C7F" w:rsidRDefault="00EE6C7F" w:rsidP="00651D00">
            <w:pPr>
              <w:pStyle w:val="Default"/>
              <w:jc w:val="both"/>
              <w:rPr>
                <w:sz w:val="23"/>
                <w:szCs w:val="23"/>
              </w:rPr>
            </w:pPr>
            <w:r w:rsidRPr="00EE6C7F">
              <w:rPr>
                <w:sz w:val="23"/>
                <w:szCs w:val="23"/>
              </w:rPr>
              <w:t xml:space="preserve">партньори да бъдат допустими бенефициенти по оперативната програма или кандидати/партньори по настоящата процедура. </w:t>
            </w:r>
          </w:p>
          <w:p w:rsidR="00EE6C7F" w:rsidRPr="00EE6C7F" w:rsidRDefault="00EE6C7F" w:rsidP="00311855">
            <w:pPr>
              <w:pStyle w:val="Default"/>
              <w:jc w:val="both"/>
              <w:rPr>
                <w:sz w:val="23"/>
                <w:szCs w:val="23"/>
              </w:rPr>
            </w:pPr>
            <w:r w:rsidRPr="00EE6C7F">
              <w:rPr>
                <w:b/>
                <w:bCs/>
                <w:sz w:val="23"/>
                <w:szCs w:val="23"/>
              </w:rPr>
              <w:lastRenderedPageBreak/>
              <w:t xml:space="preserve">Важно! </w:t>
            </w:r>
            <w:r w:rsidRPr="00EE6C7F">
              <w:rPr>
                <w:sz w:val="23"/>
                <w:szCs w:val="23"/>
              </w:rPr>
              <w:t xml:space="preserve">При включване на общини като асоциирани партньори по настоящата процедура, кандидатът следва да представи като част от документите за кандидатстване писмо за подкрепа при реализацията на проекта от съответната община, на чиято територия ще се извършват проектни дейности. </w:t>
            </w:r>
          </w:p>
          <w:p w:rsidR="00EE6C7F" w:rsidRPr="00EE6C7F" w:rsidRDefault="00EE6C7F" w:rsidP="00311855">
            <w:pPr>
              <w:pStyle w:val="Default"/>
              <w:jc w:val="both"/>
              <w:rPr>
                <w:sz w:val="23"/>
                <w:szCs w:val="23"/>
              </w:rPr>
            </w:pPr>
            <w:r w:rsidRPr="00EE6C7F">
              <w:rPr>
                <w:b/>
                <w:bCs/>
                <w:i/>
                <w:iCs/>
                <w:sz w:val="23"/>
                <w:szCs w:val="23"/>
              </w:rPr>
              <w:t>Асоциираните партньори</w:t>
            </w:r>
            <w:r w:rsidR="00311855">
              <w:rPr>
                <w:b/>
                <w:bCs/>
                <w:i/>
                <w:iCs/>
                <w:sz w:val="23"/>
                <w:szCs w:val="23"/>
              </w:rPr>
              <w:t xml:space="preserve"> </w:t>
            </w:r>
            <w:r w:rsidRPr="00EE6C7F">
              <w:rPr>
                <w:b/>
                <w:bCs/>
                <w:i/>
                <w:iCs/>
                <w:sz w:val="23"/>
                <w:szCs w:val="23"/>
              </w:rPr>
              <w:t xml:space="preserve">следва да бъдат избирани чрез безусловна открита, прозрачна и недискриминационна процедура от кандидатите, при поставяне на ясни критерии за включване на асоциираните партньори. Асоциираните партньори, могат да бъдат включвани по време на целия срок на изпълнение на договора за БФП. Кандидатът следва да осигури публичен достъп до поканата за набиране на асоциирани партньори и критериите за подбор в най – малко 2/два/ публични източника. В процеса на оценка, ще бъдат оценявани единствено асоциирани партньори, които са избрани чрез безусловна открита, прозрачна и недискриминационна процедура и с които кандидатът има подписана декларация за партньорство със срок от на-малко 5/пет/ години. </w:t>
            </w:r>
          </w:p>
          <w:p w:rsidR="00EE6C7F" w:rsidRPr="00EE6C7F" w:rsidRDefault="00EE6C7F" w:rsidP="00311855">
            <w:pPr>
              <w:pStyle w:val="Default"/>
              <w:jc w:val="both"/>
              <w:rPr>
                <w:color w:val="FF0000"/>
                <w:sz w:val="23"/>
                <w:szCs w:val="23"/>
              </w:rPr>
            </w:pPr>
          </w:p>
          <w:p w:rsidR="00EE6C7F" w:rsidRPr="00EE6C7F" w:rsidRDefault="00EE6C7F" w:rsidP="00311855">
            <w:pPr>
              <w:pStyle w:val="Default"/>
              <w:jc w:val="both"/>
              <w:rPr>
                <w:color w:val="FF0000"/>
                <w:sz w:val="23"/>
                <w:szCs w:val="23"/>
              </w:rPr>
            </w:pPr>
            <w:r w:rsidRPr="00EE6C7F">
              <w:rPr>
                <w:color w:val="FF0000"/>
                <w:sz w:val="23"/>
                <w:szCs w:val="23"/>
              </w:rPr>
              <w:t xml:space="preserve">Недопустими са асоциирани партньори, които са: </w:t>
            </w:r>
          </w:p>
          <w:p w:rsidR="00EE6C7F" w:rsidRPr="00EE6C7F" w:rsidRDefault="00EE6C7F" w:rsidP="00311855">
            <w:pPr>
              <w:pStyle w:val="Default"/>
              <w:jc w:val="both"/>
              <w:rPr>
                <w:color w:val="FF0000"/>
                <w:sz w:val="23"/>
                <w:szCs w:val="23"/>
              </w:rPr>
            </w:pPr>
            <w:r w:rsidRPr="00EE6C7F">
              <w:rPr>
                <w:color w:val="FF0000"/>
                <w:sz w:val="23"/>
                <w:szCs w:val="23"/>
              </w:rPr>
              <w:t>а) членове на управителен или контролен орган, както и временно изпълняващи такава длъжност,</w:t>
            </w:r>
          </w:p>
          <w:p w:rsidR="00EE6C7F" w:rsidRPr="00EE6C7F" w:rsidRDefault="00EE6C7F" w:rsidP="00311855">
            <w:pPr>
              <w:pStyle w:val="Default"/>
              <w:jc w:val="both"/>
              <w:rPr>
                <w:color w:val="FF0000"/>
                <w:sz w:val="23"/>
                <w:szCs w:val="23"/>
              </w:rPr>
            </w:pPr>
            <w:r w:rsidRPr="00EE6C7F">
              <w:rPr>
                <w:color w:val="FF0000"/>
                <w:sz w:val="23"/>
                <w:szCs w:val="23"/>
              </w:rPr>
              <w:t xml:space="preserve">включително прокурист или търговски пълномощник, които са свързани лица по смисъла на § 1, т. 1 от допълнителната разпоредба на Закона за предотвратяване и установяване на конфликт на интереси с ръководителя на управляващия орган; </w:t>
            </w:r>
          </w:p>
          <w:p w:rsidR="00EE6C7F" w:rsidRPr="00EE6C7F" w:rsidRDefault="00EE6C7F" w:rsidP="00311855">
            <w:pPr>
              <w:pStyle w:val="Default"/>
              <w:jc w:val="both"/>
              <w:rPr>
                <w:color w:val="FF0000"/>
                <w:sz w:val="23"/>
                <w:szCs w:val="23"/>
              </w:rPr>
            </w:pPr>
            <w:r w:rsidRPr="00EE6C7F">
              <w:rPr>
                <w:color w:val="FF0000"/>
                <w:sz w:val="23"/>
                <w:szCs w:val="23"/>
              </w:rPr>
              <w:t xml:space="preserve">б) попадат в случаите по чл. 21 или 22 от Закона за предотвратяване и установяване на конфликт на интереси. </w:t>
            </w:r>
          </w:p>
          <w:p w:rsidR="00EE6C7F" w:rsidRPr="00EE6C7F" w:rsidRDefault="00EE6C7F" w:rsidP="00311855">
            <w:pPr>
              <w:pStyle w:val="Default"/>
              <w:jc w:val="both"/>
              <w:rPr>
                <w:color w:val="FF0000"/>
                <w:sz w:val="23"/>
                <w:szCs w:val="23"/>
              </w:rPr>
            </w:pPr>
            <w:r w:rsidRPr="00EE6C7F">
              <w:rPr>
                <w:color w:val="FF0000"/>
                <w:sz w:val="23"/>
                <w:szCs w:val="23"/>
              </w:rPr>
              <w:t>В тази връзка асоциираните партньори следва да представят Декларация за липса на конфликт на интереси – Приложение II</w:t>
            </w:r>
            <w:r w:rsidR="00311855">
              <w:rPr>
                <w:color w:val="FF0000"/>
                <w:sz w:val="23"/>
                <w:szCs w:val="23"/>
              </w:rPr>
              <w:t xml:space="preserve"> </w:t>
            </w:r>
            <w:r w:rsidRPr="00EE6C7F">
              <w:rPr>
                <w:color w:val="FF0000"/>
                <w:sz w:val="23"/>
                <w:szCs w:val="23"/>
              </w:rPr>
              <w:t xml:space="preserve">a към Условията за кандидатстване, попълнена и подписана от всички лица с право да представляват партньора (независимо от това дали го представляват заедно и/или поотделно, и/или по друг начин). </w:t>
            </w:r>
          </w:p>
          <w:p w:rsidR="00EE6C7F" w:rsidRPr="00EE6C7F" w:rsidRDefault="00EE6C7F" w:rsidP="00311855">
            <w:pPr>
              <w:pStyle w:val="Default"/>
              <w:jc w:val="both"/>
              <w:rPr>
                <w:color w:val="FF0000"/>
                <w:sz w:val="23"/>
                <w:szCs w:val="23"/>
              </w:rPr>
            </w:pPr>
            <w:r w:rsidRPr="00EE6C7F">
              <w:rPr>
                <w:color w:val="FF0000"/>
                <w:sz w:val="23"/>
                <w:szCs w:val="23"/>
              </w:rPr>
              <w:t xml:space="preserve">Асоциираните партньори могат да участват съвместно с кандидата в подготовката и/или техническото изпълнение на проекта, или на предварително заявени в Проектната обосновка – Приложение I, дейности от проекта. Асоциираните партньори и кандидата/водещият партньор попълват декларация за партньорство, по образец – Приложение IIIa, в която конкретизират съвместно осъществяваните дейности. </w:t>
            </w:r>
          </w:p>
          <w:p w:rsidR="00EE6C7F" w:rsidRPr="00EE6C7F" w:rsidRDefault="00EE6C7F">
            <w:pPr>
              <w:pStyle w:val="Default"/>
              <w:rPr>
                <w:color w:val="FF0000"/>
                <w:sz w:val="23"/>
                <w:szCs w:val="23"/>
              </w:rPr>
            </w:pPr>
          </w:p>
          <w:p w:rsidR="00EE6C7F" w:rsidRPr="00EE6C7F" w:rsidRDefault="00EE6C7F">
            <w:pPr>
              <w:pStyle w:val="Default"/>
              <w:rPr>
                <w:color w:val="FF0000"/>
                <w:sz w:val="23"/>
                <w:szCs w:val="23"/>
              </w:rPr>
            </w:pPr>
          </w:p>
          <w:p w:rsidR="00EE6C7F" w:rsidRPr="00EE6C7F" w:rsidRDefault="00EE6C7F">
            <w:pPr>
              <w:pStyle w:val="NormalWeb"/>
              <w:spacing w:before="0" w:after="0"/>
              <w:rPr>
                <w:b/>
              </w:rPr>
            </w:pPr>
          </w:p>
          <w:p w:rsidR="00EE6C7F" w:rsidRPr="00EE6C7F" w:rsidRDefault="00EE6C7F">
            <w:pPr>
              <w:pStyle w:val="Default"/>
              <w:rPr>
                <w:sz w:val="23"/>
                <w:szCs w:val="23"/>
              </w:rPr>
            </w:pPr>
          </w:p>
        </w:tc>
      </w:tr>
    </w:tbl>
    <w:p w:rsidR="00884316" w:rsidRPr="00EE6C7F" w:rsidRDefault="00884316" w:rsidP="00595E72">
      <w:pPr>
        <w:jc w:val="both"/>
        <w:rPr>
          <w:lang w:val="bg-BG"/>
        </w:rPr>
      </w:pPr>
    </w:p>
    <w:sectPr w:rsidR="00884316" w:rsidRPr="00EE6C7F" w:rsidSect="008F6DB7">
      <w:pgSz w:w="11906" w:h="16838"/>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77F" w:rsidRDefault="008E577F" w:rsidP="00C96B03">
      <w:r>
        <w:separator/>
      </w:r>
    </w:p>
  </w:endnote>
  <w:endnote w:type="continuationSeparator" w:id="0">
    <w:p w:rsidR="008E577F" w:rsidRDefault="008E577F" w:rsidP="00C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77F" w:rsidRDefault="008E577F" w:rsidP="00C96B03">
      <w:r>
        <w:separator/>
      </w:r>
    </w:p>
  </w:footnote>
  <w:footnote w:type="continuationSeparator" w:id="0">
    <w:p w:rsidR="008E577F" w:rsidRDefault="008E577F" w:rsidP="00C96B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618ED0A"/>
    <w:lvl w:ilvl="0">
      <w:start w:val="1"/>
      <w:numFmt w:val="bullet"/>
      <w:lvlText w:val="-"/>
      <w:lvlJc w:val="left"/>
      <w:rPr>
        <w:b w:val="0"/>
        <w:bCs w:val="0"/>
        <w:i w:val="0"/>
        <w:iCs w:val="0"/>
        <w:smallCaps w:val="0"/>
        <w:strike w:val="0"/>
        <w:color w:val="000000"/>
        <w:spacing w:val="-2"/>
        <w:w w:val="100"/>
        <w:position w:val="0"/>
        <w:sz w:val="22"/>
        <w:szCs w:val="22"/>
        <w:u w:val="none"/>
      </w:rPr>
    </w:lvl>
    <w:lvl w:ilvl="1">
      <w:start w:val="1"/>
      <w:numFmt w:val="bullet"/>
      <w:lvlText w:val=""/>
      <w:lvlJc w:val="left"/>
      <w:rPr>
        <w:rFonts w:ascii="Symbol" w:hAnsi="Symbol" w:hint="default"/>
        <w:b w:val="0"/>
        <w:bCs w:val="0"/>
        <w:i w:val="0"/>
        <w:iCs w:val="0"/>
        <w:smallCaps w:val="0"/>
        <w:strike w:val="0"/>
        <w:color w:val="000000"/>
        <w:spacing w:val="-2"/>
        <w:w w:val="100"/>
        <w:position w:val="0"/>
        <w:sz w:val="22"/>
        <w:szCs w:val="22"/>
        <w:u w:val="none"/>
      </w:rPr>
    </w:lvl>
    <w:lvl w:ilvl="2">
      <w:start w:val="1"/>
      <w:numFmt w:val="bullet"/>
      <w:lvlText w:val="-"/>
      <w:lvlJc w:val="left"/>
      <w:rPr>
        <w:b w:val="0"/>
        <w:bCs w:val="0"/>
        <w:i w:val="0"/>
        <w:iCs w:val="0"/>
        <w:smallCaps w:val="0"/>
        <w:strike w:val="0"/>
        <w:color w:val="000000"/>
        <w:spacing w:val="-2"/>
        <w:w w:val="100"/>
        <w:position w:val="0"/>
        <w:sz w:val="22"/>
        <w:szCs w:val="22"/>
        <w:u w:val="none"/>
      </w:rPr>
    </w:lvl>
    <w:lvl w:ilvl="3">
      <w:start w:val="1"/>
      <w:numFmt w:val="bullet"/>
      <w:lvlText w:val="-"/>
      <w:lvlJc w:val="left"/>
      <w:rPr>
        <w:b w:val="0"/>
        <w:bCs w:val="0"/>
        <w:i w:val="0"/>
        <w:iCs w:val="0"/>
        <w:smallCaps w:val="0"/>
        <w:strike w:val="0"/>
        <w:color w:val="000000"/>
        <w:spacing w:val="-2"/>
        <w:w w:val="100"/>
        <w:position w:val="0"/>
        <w:sz w:val="22"/>
        <w:szCs w:val="22"/>
        <w:u w:val="none"/>
      </w:rPr>
    </w:lvl>
    <w:lvl w:ilvl="4">
      <w:start w:val="1"/>
      <w:numFmt w:val="bullet"/>
      <w:lvlText w:val="-"/>
      <w:lvlJc w:val="left"/>
      <w:rPr>
        <w:b w:val="0"/>
        <w:bCs w:val="0"/>
        <w:i w:val="0"/>
        <w:iCs w:val="0"/>
        <w:smallCaps w:val="0"/>
        <w:strike w:val="0"/>
        <w:color w:val="000000"/>
        <w:spacing w:val="-2"/>
        <w:w w:val="100"/>
        <w:position w:val="0"/>
        <w:sz w:val="22"/>
        <w:szCs w:val="22"/>
        <w:u w:val="none"/>
      </w:rPr>
    </w:lvl>
    <w:lvl w:ilvl="5">
      <w:start w:val="1"/>
      <w:numFmt w:val="bullet"/>
      <w:lvlText w:val="-"/>
      <w:lvlJc w:val="left"/>
      <w:rPr>
        <w:b w:val="0"/>
        <w:bCs w:val="0"/>
        <w:i w:val="0"/>
        <w:iCs w:val="0"/>
        <w:smallCaps w:val="0"/>
        <w:strike w:val="0"/>
        <w:color w:val="000000"/>
        <w:spacing w:val="-2"/>
        <w:w w:val="100"/>
        <w:position w:val="0"/>
        <w:sz w:val="22"/>
        <w:szCs w:val="22"/>
        <w:u w:val="none"/>
      </w:rPr>
    </w:lvl>
    <w:lvl w:ilvl="6">
      <w:start w:val="1"/>
      <w:numFmt w:val="bullet"/>
      <w:lvlText w:val="-"/>
      <w:lvlJc w:val="left"/>
      <w:rPr>
        <w:b w:val="0"/>
        <w:bCs w:val="0"/>
        <w:i w:val="0"/>
        <w:iCs w:val="0"/>
        <w:smallCaps w:val="0"/>
        <w:strike w:val="0"/>
        <w:color w:val="000000"/>
        <w:spacing w:val="-2"/>
        <w:w w:val="100"/>
        <w:position w:val="0"/>
        <w:sz w:val="22"/>
        <w:szCs w:val="22"/>
        <w:u w:val="none"/>
      </w:rPr>
    </w:lvl>
    <w:lvl w:ilvl="7">
      <w:start w:val="1"/>
      <w:numFmt w:val="bullet"/>
      <w:lvlText w:val="-"/>
      <w:lvlJc w:val="left"/>
      <w:rPr>
        <w:b w:val="0"/>
        <w:bCs w:val="0"/>
        <w:i w:val="0"/>
        <w:iCs w:val="0"/>
        <w:smallCaps w:val="0"/>
        <w:strike w:val="0"/>
        <w:color w:val="000000"/>
        <w:spacing w:val="-2"/>
        <w:w w:val="100"/>
        <w:position w:val="0"/>
        <w:sz w:val="22"/>
        <w:szCs w:val="22"/>
        <w:u w:val="none"/>
      </w:rPr>
    </w:lvl>
    <w:lvl w:ilvl="8">
      <w:start w:val="1"/>
      <w:numFmt w:val="bullet"/>
      <w:lvlText w:val="-"/>
      <w:lvlJc w:val="left"/>
      <w:rPr>
        <w:b w:val="0"/>
        <w:bCs w:val="0"/>
        <w:i w:val="0"/>
        <w:iCs w:val="0"/>
        <w:smallCaps w:val="0"/>
        <w:strike w:val="0"/>
        <w:color w:val="000000"/>
        <w:spacing w:val="-2"/>
        <w:w w:val="100"/>
        <w:position w:val="0"/>
        <w:sz w:val="22"/>
        <w:szCs w:val="22"/>
        <w:u w:val="none"/>
      </w:rPr>
    </w:lvl>
  </w:abstractNum>
  <w:abstractNum w:abstractNumId="1" w15:restartNumberingAfterBreak="0">
    <w:nsid w:val="1C830EEA"/>
    <w:multiLevelType w:val="hybridMultilevel"/>
    <w:tmpl w:val="637AD120"/>
    <w:lvl w:ilvl="0" w:tplc="0AA80F82">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1631400"/>
    <w:multiLevelType w:val="hybridMultilevel"/>
    <w:tmpl w:val="3C528CD2"/>
    <w:lvl w:ilvl="0" w:tplc="135878F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15:restartNumberingAfterBreak="0">
    <w:nsid w:val="3E8D5BD4"/>
    <w:multiLevelType w:val="hybridMultilevel"/>
    <w:tmpl w:val="6B1A289A"/>
    <w:lvl w:ilvl="0" w:tplc="D9821412">
      <w:numFmt w:val="bullet"/>
      <w:lvlText w:val="-"/>
      <w:lvlJc w:val="left"/>
      <w:pPr>
        <w:ind w:left="1065" w:hanging="360"/>
      </w:pPr>
      <w:rPr>
        <w:rFonts w:ascii="Times New Roman" w:eastAsia="Times New Roman"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4" w15:restartNumberingAfterBreak="0">
    <w:nsid w:val="60340235"/>
    <w:multiLevelType w:val="hybridMultilevel"/>
    <w:tmpl w:val="BD8648AE"/>
    <w:lvl w:ilvl="0" w:tplc="04090001">
      <w:start w:val="1"/>
      <w:numFmt w:val="bullet"/>
      <w:lvlText w:val=""/>
      <w:lvlJc w:val="left"/>
      <w:pPr>
        <w:ind w:left="3260" w:hanging="360"/>
      </w:pPr>
      <w:rPr>
        <w:rFonts w:ascii="Symbol" w:hAnsi="Symbol" w:hint="default"/>
      </w:rPr>
    </w:lvl>
    <w:lvl w:ilvl="1" w:tplc="04090003" w:tentative="1">
      <w:start w:val="1"/>
      <w:numFmt w:val="bullet"/>
      <w:lvlText w:val="o"/>
      <w:lvlJc w:val="left"/>
      <w:pPr>
        <w:ind w:left="3980" w:hanging="360"/>
      </w:pPr>
      <w:rPr>
        <w:rFonts w:ascii="Courier New" w:hAnsi="Courier New" w:cs="Courier New" w:hint="default"/>
      </w:rPr>
    </w:lvl>
    <w:lvl w:ilvl="2" w:tplc="04090005" w:tentative="1">
      <w:start w:val="1"/>
      <w:numFmt w:val="bullet"/>
      <w:lvlText w:val=""/>
      <w:lvlJc w:val="left"/>
      <w:pPr>
        <w:ind w:left="4700" w:hanging="360"/>
      </w:pPr>
      <w:rPr>
        <w:rFonts w:ascii="Wingdings" w:hAnsi="Wingdings" w:hint="default"/>
      </w:rPr>
    </w:lvl>
    <w:lvl w:ilvl="3" w:tplc="04090001" w:tentative="1">
      <w:start w:val="1"/>
      <w:numFmt w:val="bullet"/>
      <w:lvlText w:val=""/>
      <w:lvlJc w:val="left"/>
      <w:pPr>
        <w:ind w:left="5420" w:hanging="360"/>
      </w:pPr>
      <w:rPr>
        <w:rFonts w:ascii="Symbol" w:hAnsi="Symbol" w:hint="default"/>
      </w:rPr>
    </w:lvl>
    <w:lvl w:ilvl="4" w:tplc="04090003" w:tentative="1">
      <w:start w:val="1"/>
      <w:numFmt w:val="bullet"/>
      <w:lvlText w:val="o"/>
      <w:lvlJc w:val="left"/>
      <w:pPr>
        <w:ind w:left="6140" w:hanging="360"/>
      </w:pPr>
      <w:rPr>
        <w:rFonts w:ascii="Courier New" w:hAnsi="Courier New" w:cs="Courier New" w:hint="default"/>
      </w:rPr>
    </w:lvl>
    <w:lvl w:ilvl="5" w:tplc="04090005" w:tentative="1">
      <w:start w:val="1"/>
      <w:numFmt w:val="bullet"/>
      <w:lvlText w:val=""/>
      <w:lvlJc w:val="left"/>
      <w:pPr>
        <w:ind w:left="6860" w:hanging="360"/>
      </w:pPr>
      <w:rPr>
        <w:rFonts w:ascii="Wingdings" w:hAnsi="Wingdings" w:hint="default"/>
      </w:rPr>
    </w:lvl>
    <w:lvl w:ilvl="6" w:tplc="04090001" w:tentative="1">
      <w:start w:val="1"/>
      <w:numFmt w:val="bullet"/>
      <w:lvlText w:val=""/>
      <w:lvlJc w:val="left"/>
      <w:pPr>
        <w:ind w:left="7580" w:hanging="360"/>
      </w:pPr>
      <w:rPr>
        <w:rFonts w:ascii="Symbol" w:hAnsi="Symbol" w:hint="default"/>
      </w:rPr>
    </w:lvl>
    <w:lvl w:ilvl="7" w:tplc="04090003" w:tentative="1">
      <w:start w:val="1"/>
      <w:numFmt w:val="bullet"/>
      <w:lvlText w:val="o"/>
      <w:lvlJc w:val="left"/>
      <w:pPr>
        <w:ind w:left="8300" w:hanging="360"/>
      </w:pPr>
      <w:rPr>
        <w:rFonts w:ascii="Courier New" w:hAnsi="Courier New" w:cs="Courier New" w:hint="default"/>
      </w:rPr>
    </w:lvl>
    <w:lvl w:ilvl="8" w:tplc="04090005" w:tentative="1">
      <w:start w:val="1"/>
      <w:numFmt w:val="bullet"/>
      <w:lvlText w:val=""/>
      <w:lvlJc w:val="left"/>
      <w:pPr>
        <w:ind w:left="902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40"/>
    <w:rsid w:val="00032A05"/>
    <w:rsid w:val="000559F9"/>
    <w:rsid w:val="00064DA1"/>
    <w:rsid w:val="0009029F"/>
    <w:rsid w:val="000A26F9"/>
    <w:rsid w:val="000A312A"/>
    <w:rsid w:val="000B0D15"/>
    <w:rsid w:val="000B73D5"/>
    <w:rsid w:val="000C6A8A"/>
    <w:rsid w:val="0010537D"/>
    <w:rsid w:val="001443CB"/>
    <w:rsid w:val="00181AF3"/>
    <w:rsid w:val="00187BF1"/>
    <w:rsid w:val="00190D08"/>
    <w:rsid w:val="001A0EC3"/>
    <w:rsid w:val="001B3FC3"/>
    <w:rsid w:val="001C54C0"/>
    <w:rsid w:val="001F2245"/>
    <w:rsid w:val="00217E17"/>
    <w:rsid w:val="00222C5D"/>
    <w:rsid w:val="0023716D"/>
    <w:rsid w:val="0025438F"/>
    <w:rsid w:val="00256A75"/>
    <w:rsid w:val="00270410"/>
    <w:rsid w:val="00275A63"/>
    <w:rsid w:val="0027686C"/>
    <w:rsid w:val="00277AA0"/>
    <w:rsid w:val="00284226"/>
    <w:rsid w:val="0028531D"/>
    <w:rsid w:val="0029071E"/>
    <w:rsid w:val="002A3D67"/>
    <w:rsid w:val="002C61BD"/>
    <w:rsid w:val="002D425B"/>
    <w:rsid w:val="002E7646"/>
    <w:rsid w:val="002E7DF2"/>
    <w:rsid w:val="002E7FF4"/>
    <w:rsid w:val="00311855"/>
    <w:rsid w:val="0032476F"/>
    <w:rsid w:val="003317B0"/>
    <w:rsid w:val="003814EA"/>
    <w:rsid w:val="003822A7"/>
    <w:rsid w:val="0038407F"/>
    <w:rsid w:val="00392803"/>
    <w:rsid w:val="003A7C6A"/>
    <w:rsid w:val="003B69A8"/>
    <w:rsid w:val="003C7194"/>
    <w:rsid w:val="003C7A3B"/>
    <w:rsid w:val="003D7205"/>
    <w:rsid w:val="003E4760"/>
    <w:rsid w:val="00403FA6"/>
    <w:rsid w:val="00413207"/>
    <w:rsid w:val="004146CD"/>
    <w:rsid w:val="00444DE4"/>
    <w:rsid w:val="004473DC"/>
    <w:rsid w:val="00482EA5"/>
    <w:rsid w:val="004848D3"/>
    <w:rsid w:val="00490B6C"/>
    <w:rsid w:val="004963DC"/>
    <w:rsid w:val="004B0DEA"/>
    <w:rsid w:val="004B624C"/>
    <w:rsid w:val="004C0990"/>
    <w:rsid w:val="004C2366"/>
    <w:rsid w:val="004D158A"/>
    <w:rsid w:val="004E6550"/>
    <w:rsid w:val="005101B7"/>
    <w:rsid w:val="00595D20"/>
    <w:rsid w:val="00595E72"/>
    <w:rsid w:val="005976D6"/>
    <w:rsid w:val="005977F5"/>
    <w:rsid w:val="005B5E9E"/>
    <w:rsid w:val="005C15B6"/>
    <w:rsid w:val="005C5FEB"/>
    <w:rsid w:val="005E3EAF"/>
    <w:rsid w:val="005E67FD"/>
    <w:rsid w:val="005F3953"/>
    <w:rsid w:val="005F6BB4"/>
    <w:rsid w:val="00607AEE"/>
    <w:rsid w:val="00630218"/>
    <w:rsid w:val="00636A63"/>
    <w:rsid w:val="00651D00"/>
    <w:rsid w:val="00674D81"/>
    <w:rsid w:val="006837F6"/>
    <w:rsid w:val="00687815"/>
    <w:rsid w:val="0069598F"/>
    <w:rsid w:val="006A44F9"/>
    <w:rsid w:val="006C2C41"/>
    <w:rsid w:val="006D23D0"/>
    <w:rsid w:val="006E26D8"/>
    <w:rsid w:val="006E3DCA"/>
    <w:rsid w:val="006F3ABC"/>
    <w:rsid w:val="007301B5"/>
    <w:rsid w:val="007315F6"/>
    <w:rsid w:val="00735469"/>
    <w:rsid w:val="00766F37"/>
    <w:rsid w:val="00792F6C"/>
    <w:rsid w:val="007A7016"/>
    <w:rsid w:val="007B6C74"/>
    <w:rsid w:val="007C1DD2"/>
    <w:rsid w:val="007E60AB"/>
    <w:rsid w:val="007F3A07"/>
    <w:rsid w:val="00802E0D"/>
    <w:rsid w:val="008171E8"/>
    <w:rsid w:val="00824CE1"/>
    <w:rsid w:val="00846DAA"/>
    <w:rsid w:val="00873F01"/>
    <w:rsid w:val="008762EF"/>
    <w:rsid w:val="00877F1F"/>
    <w:rsid w:val="00884316"/>
    <w:rsid w:val="008965E3"/>
    <w:rsid w:val="008C205D"/>
    <w:rsid w:val="008C707B"/>
    <w:rsid w:val="008D3CDE"/>
    <w:rsid w:val="008D7A65"/>
    <w:rsid w:val="008E05DA"/>
    <w:rsid w:val="008E5670"/>
    <w:rsid w:val="008E577F"/>
    <w:rsid w:val="008F6DB7"/>
    <w:rsid w:val="0091228E"/>
    <w:rsid w:val="009204A7"/>
    <w:rsid w:val="00925B0B"/>
    <w:rsid w:val="00930F2D"/>
    <w:rsid w:val="00932D47"/>
    <w:rsid w:val="00943BD8"/>
    <w:rsid w:val="00946EC7"/>
    <w:rsid w:val="00953A89"/>
    <w:rsid w:val="00974C1D"/>
    <w:rsid w:val="00984F78"/>
    <w:rsid w:val="009B6448"/>
    <w:rsid w:val="009F1542"/>
    <w:rsid w:val="009F245C"/>
    <w:rsid w:val="009F4CAA"/>
    <w:rsid w:val="009F4DDA"/>
    <w:rsid w:val="009F50A6"/>
    <w:rsid w:val="00A04789"/>
    <w:rsid w:val="00A13685"/>
    <w:rsid w:val="00A249FC"/>
    <w:rsid w:val="00A24D91"/>
    <w:rsid w:val="00A36B94"/>
    <w:rsid w:val="00A37D3B"/>
    <w:rsid w:val="00A535B6"/>
    <w:rsid w:val="00A55530"/>
    <w:rsid w:val="00A754F3"/>
    <w:rsid w:val="00A776DC"/>
    <w:rsid w:val="00A95AFB"/>
    <w:rsid w:val="00AA0C40"/>
    <w:rsid w:val="00AC47A2"/>
    <w:rsid w:val="00AE029D"/>
    <w:rsid w:val="00AE1591"/>
    <w:rsid w:val="00AE34D4"/>
    <w:rsid w:val="00AE3F1E"/>
    <w:rsid w:val="00AE68DC"/>
    <w:rsid w:val="00AF25DF"/>
    <w:rsid w:val="00B179FE"/>
    <w:rsid w:val="00B22211"/>
    <w:rsid w:val="00B26EBE"/>
    <w:rsid w:val="00B318BD"/>
    <w:rsid w:val="00B3693B"/>
    <w:rsid w:val="00B50051"/>
    <w:rsid w:val="00B50E0C"/>
    <w:rsid w:val="00B77485"/>
    <w:rsid w:val="00B83AFF"/>
    <w:rsid w:val="00B869DD"/>
    <w:rsid w:val="00BA25D9"/>
    <w:rsid w:val="00BC69EA"/>
    <w:rsid w:val="00BF1A25"/>
    <w:rsid w:val="00C12CE9"/>
    <w:rsid w:val="00C13502"/>
    <w:rsid w:val="00C26171"/>
    <w:rsid w:val="00C3266E"/>
    <w:rsid w:val="00C500DA"/>
    <w:rsid w:val="00C5066C"/>
    <w:rsid w:val="00C532FD"/>
    <w:rsid w:val="00C57BD2"/>
    <w:rsid w:val="00C63E57"/>
    <w:rsid w:val="00C7018E"/>
    <w:rsid w:val="00C85166"/>
    <w:rsid w:val="00C87C59"/>
    <w:rsid w:val="00C96B03"/>
    <w:rsid w:val="00CA071C"/>
    <w:rsid w:val="00CA1F9D"/>
    <w:rsid w:val="00CA35FE"/>
    <w:rsid w:val="00CA68FD"/>
    <w:rsid w:val="00CD394E"/>
    <w:rsid w:val="00CD4AFE"/>
    <w:rsid w:val="00CE40B4"/>
    <w:rsid w:val="00CF5DC9"/>
    <w:rsid w:val="00CF6A02"/>
    <w:rsid w:val="00D00108"/>
    <w:rsid w:val="00D03ED2"/>
    <w:rsid w:val="00D218E4"/>
    <w:rsid w:val="00D25E91"/>
    <w:rsid w:val="00D26F30"/>
    <w:rsid w:val="00D46BC1"/>
    <w:rsid w:val="00D624A3"/>
    <w:rsid w:val="00D62ED8"/>
    <w:rsid w:val="00D72957"/>
    <w:rsid w:val="00D82CF6"/>
    <w:rsid w:val="00DE1E40"/>
    <w:rsid w:val="00DF0249"/>
    <w:rsid w:val="00E06D87"/>
    <w:rsid w:val="00E207D4"/>
    <w:rsid w:val="00E20DE9"/>
    <w:rsid w:val="00E25805"/>
    <w:rsid w:val="00E36EB8"/>
    <w:rsid w:val="00E477F9"/>
    <w:rsid w:val="00E5552A"/>
    <w:rsid w:val="00E71F59"/>
    <w:rsid w:val="00E82822"/>
    <w:rsid w:val="00E82F8B"/>
    <w:rsid w:val="00E83AA9"/>
    <w:rsid w:val="00E93055"/>
    <w:rsid w:val="00E961E9"/>
    <w:rsid w:val="00EA4C6A"/>
    <w:rsid w:val="00EB2806"/>
    <w:rsid w:val="00EB532A"/>
    <w:rsid w:val="00ED2817"/>
    <w:rsid w:val="00ED7B55"/>
    <w:rsid w:val="00EE2A43"/>
    <w:rsid w:val="00EE4CEE"/>
    <w:rsid w:val="00EE6C7F"/>
    <w:rsid w:val="00F348A5"/>
    <w:rsid w:val="00F727BF"/>
    <w:rsid w:val="00F85D35"/>
    <w:rsid w:val="00F86C6F"/>
    <w:rsid w:val="00F909AE"/>
    <w:rsid w:val="00F91348"/>
    <w:rsid w:val="00FA0CAE"/>
    <w:rsid w:val="00FB0EF5"/>
    <w:rsid w:val="00FC1886"/>
    <w:rsid w:val="00FC2E11"/>
    <w:rsid w:val="00FC5B30"/>
    <w:rsid w:val="00FD6CBB"/>
    <w:rsid w:val="00FE6BCE"/>
    <w:rsid w:val="00FF3C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734E7A-7FB5-4C24-9F03-201D2588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1E9"/>
    <w:pPr>
      <w:autoSpaceDE w:val="0"/>
      <w:autoSpaceDN w:val="0"/>
    </w:pPr>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79F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96B03"/>
    <w:pPr>
      <w:tabs>
        <w:tab w:val="center" w:pos="4703"/>
        <w:tab w:val="right" w:pos="9406"/>
      </w:tabs>
    </w:pPr>
  </w:style>
  <w:style w:type="character" w:customStyle="1" w:styleId="HeaderChar">
    <w:name w:val="Header Char"/>
    <w:link w:val="Header"/>
    <w:uiPriority w:val="99"/>
    <w:semiHidden/>
    <w:rsid w:val="00C96B03"/>
    <w:rPr>
      <w:sz w:val="24"/>
      <w:szCs w:val="24"/>
      <w:lang w:val="en-AU"/>
    </w:rPr>
  </w:style>
  <w:style w:type="paragraph" w:styleId="Footer">
    <w:name w:val="footer"/>
    <w:basedOn w:val="Normal"/>
    <w:link w:val="FooterChar"/>
    <w:uiPriority w:val="99"/>
    <w:semiHidden/>
    <w:unhideWhenUsed/>
    <w:rsid w:val="00C96B03"/>
    <w:pPr>
      <w:tabs>
        <w:tab w:val="center" w:pos="4703"/>
        <w:tab w:val="right" w:pos="9406"/>
      </w:tabs>
    </w:pPr>
  </w:style>
  <w:style w:type="character" w:customStyle="1" w:styleId="FooterChar">
    <w:name w:val="Footer Char"/>
    <w:link w:val="Footer"/>
    <w:uiPriority w:val="99"/>
    <w:semiHidden/>
    <w:rsid w:val="00C96B03"/>
    <w:rPr>
      <w:sz w:val="24"/>
      <w:szCs w:val="24"/>
      <w:lang w:val="en-AU"/>
    </w:rPr>
  </w:style>
  <w:style w:type="paragraph" w:styleId="ListParagraph">
    <w:name w:val="List Paragraph"/>
    <w:basedOn w:val="Normal"/>
    <w:uiPriority w:val="34"/>
    <w:qFormat/>
    <w:rsid w:val="00EE2A43"/>
    <w:pPr>
      <w:autoSpaceDE/>
      <w:autoSpaceDN/>
      <w:spacing w:after="200" w:line="276" w:lineRule="auto"/>
      <w:ind w:left="720"/>
      <w:contextualSpacing/>
    </w:pPr>
    <w:rPr>
      <w:rFonts w:ascii="Calibri" w:hAnsi="Calibri"/>
      <w:sz w:val="22"/>
      <w:szCs w:val="22"/>
      <w:lang w:val="bg-BG" w:eastAsia="bg-BG"/>
    </w:rPr>
  </w:style>
  <w:style w:type="paragraph" w:styleId="NormalWeb">
    <w:name w:val="Normal (Web)"/>
    <w:basedOn w:val="Normal"/>
    <w:semiHidden/>
    <w:unhideWhenUsed/>
    <w:rsid w:val="00EE6C7F"/>
    <w:pPr>
      <w:autoSpaceDE/>
      <w:autoSpaceDN/>
      <w:spacing w:before="150" w:after="150"/>
    </w:pPr>
    <w:rPr>
      <w:lang w:val="bg-BG" w:eastAsia="bg-BG"/>
    </w:rPr>
  </w:style>
  <w:style w:type="paragraph" w:styleId="FootnoteText">
    <w:name w:val="footnote text"/>
    <w:basedOn w:val="Normal"/>
    <w:link w:val="FootnoteTextChar"/>
    <w:semiHidden/>
    <w:unhideWhenUsed/>
    <w:rsid w:val="00EE6C7F"/>
    <w:pPr>
      <w:autoSpaceDE/>
      <w:autoSpaceDN/>
    </w:pPr>
    <w:rPr>
      <w:sz w:val="20"/>
      <w:szCs w:val="20"/>
      <w:lang w:val="en-GB"/>
    </w:rPr>
  </w:style>
  <w:style w:type="character" w:customStyle="1" w:styleId="FootnoteTextChar">
    <w:name w:val="Footnote Text Char"/>
    <w:link w:val="FootnoteText"/>
    <w:semiHidden/>
    <w:rsid w:val="00EE6C7F"/>
    <w:rPr>
      <w:lang w:val="en-GB" w:eastAsia="en-US"/>
    </w:rPr>
  </w:style>
  <w:style w:type="paragraph" w:customStyle="1" w:styleId="Default">
    <w:name w:val="Default"/>
    <w:rsid w:val="00EE6C7F"/>
    <w:pPr>
      <w:autoSpaceDE w:val="0"/>
      <w:autoSpaceDN w:val="0"/>
      <w:adjustRightInd w:val="0"/>
    </w:pPr>
    <w:rPr>
      <w:color w:val="000000"/>
      <w:sz w:val="24"/>
      <w:szCs w:val="24"/>
    </w:rPr>
  </w:style>
  <w:style w:type="character" w:customStyle="1" w:styleId="a">
    <w:name w:val="Знаци за бележки под линия"/>
    <w:rsid w:val="00EE6C7F"/>
    <w:rPr>
      <w:rFonts w:ascii="Times New Roman" w:hAnsi="Times New Roman" w:cs="Times New Roman" w:hint="default"/>
      <w:sz w:val="27"/>
      <w:vertAlign w:val="superscript"/>
      <w:lang w:val="en-US"/>
    </w:rPr>
  </w:style>
  <w:style w:type="character" w:customStyle="1" w:styleId="spelle">
    <w:name w:val="spelle"/>
    <w:rsid w:val="00EE6C7F"/>
  </w:style>
  <w:style w:type="character" w:customStyle="1" w:styleId="grame">
    <w:name w:val="grame"/>
    <w:rsid w:val="00EE6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191305">
      <w:bodyDiv w:val="1"/>
      <w:marLeft w:val="0"/>
      <w:marRight w:val="0"/>
      <w:marTop w:val="0"/>
      <w:marBottom w:val="0"/>
      <w:divBdr>
        <w:top w:val="none" w:sz="0" w:space="0" w:color="auto"/>
        <w:left w:val="none" w:sz="0" w:space="0" w:color="auto"/>
        <w:bottom w:val="none" w:sz="0" w:space="0" w:color="auto"/>
        <w:right w:val="none" w:sz="0" w:space="0" w:color="auto"/>
      </w:divBdr>
    </w:div>
    <w:div w:id="1146704911">
      <w:bodyDiv w:val="1"/>
      <w:marLeft w:val="0"/>
      <w:marRight w:val="0"/>
      <w:marTop w:val="0"/>
      <w:marBottom w:val="0"/>
      <w:divBdr>
        <w:top w:val="none" w:sz="0" w:space="0" w:color="auto"/>
        <w:left w:val="none" w:sz="0" w:space="0" w:color="auto"/>
        <w:bottom w:val="none" w:sz="0" w:space="0" w:color="auto"/>
        <w:right w:val="none" w:sz="0" w:space="0" w:color="auto"/>
      </w:divBdr>
    </w:div>
    <w:div w:id="1361780490">
      <w:bodyDiv w:val="1"/>
      <w:marLeft w:val="0"/>
      <w:marRight w:val="0"/>
      <w:marTop w:val="0"/>
      <w:marBottom w:val="0"/>
      <w:divBdr>
        <w:top w:val="none" w:sz="0" w:space="0" w:color="auto"/>
        <w:left w:val="none" w:sz="0" w:space="0" w:color="auto"/>
        <w:bottom w:val="none" w:sz="0" w:space="0" w:color="auto"/>
        <w:right w:val="none" w:sz="0" w:space="0" w:color="auto"/>
      </w:divBdr>
    </w:div>
    <w:div w:id="21003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СЕЛСКОСТОПАНСКА АКАДЕМИЯ</vt:lpstr>
    </vt:vector>
  </TitlesOfParts>
  <Company>NCAS</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СЕЛСКОСТОПАНСКА АКАДЕМИЯ</dc:title>
  <dc:creator>PC</dc:creator>
  <cp:lastModifiedBy>Merry</cp:lastModifiedBy>
  <cp:revision>2</cp:revision>
  <cp:lastPrinted>2016-05-14T09:37:00Z</cp:lastPrinted>
  <dcterms:created xsi:type="dcterms:W3CDTF">2016-12-02T09:14:00Z</dcterms:created>
  <dcterms:modified xsi:type="dcterms:W3CDTF">2016-12-02T09:14:00Z</dcterms:modified>
</cp:coreProperties>
</file>